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rsidTr="00E905F4">
        <w:trPr>
          <w:cantSplit/>
          <w:trHeight w:hRule="exact" w:val="851"/>
        </w:trPr>
        <w:tc>
          <w:tcPr>
            <w:tcW w:w="1276" w:type="dxa"/>
            <w:tcBorders>
              <w:bottom w:val="single" w:sz="4" w:space="0" w:color="auto"/>
            </w:tcBorders>
            <w:vAlign w:val="bottom"/>
          </w:tcPr>
          <w:p w:rsidR="009E6CB7" w:rsidRDefault="009E6CB7" w:rsidP="00E905F4">
            <w:pPr>
              <w:spacing w:after="80"/>
            </w:pPr>
            <w:bookmarkStart w:id="0" w:name="_GoBack"/>
            <w:bookmarkEnd w:id="0"/>
          </w:p>
        </w:tc>
        <w:tc>
          <w:tcPr>
            <w:tcW w:w="2268" w:type="dxa"/>
            <w:tcBorders>
              <w:bottom w:val="single" w:sz="4" w:space="0" w:color="auto"/>
            </w:tcBorders>
            <w:vAlign w:val="bottom"/>
          </w:tcPr>
          <w:p w:rsidR="009E6CB7" w:rsidRPr="00B97172" w:rsidRDefault="009E6CB7" w:rsidP="00E905F4">
            <w:pPr>
              <w:spacing w:after="80" w:line="300" w:lineRule="exact"/>
              <w:rPr>
                <w:b/>
                <w:sz w:val="24"/>
                <w:szCs w:val="24"/>
              </w:rPr>
            </w:pPr>
          </w:p>
        </w:tc>
        <w:tc>
          <w:tcPr>
            <w:tcW w:w="6095" w:type="dxa"/>
            <w:gridSpan w:val="2"/>
            <w:tcBorders>
              <w:bottom w:val="single" w:sz="4" w:space="0" w:color="auto"/>
            </w:tcBorders>
            <w:vAlign w:val="bottom"/>
          </w:tcPr>
          <w:p w:rsidR="009E6CB7" w:rsidRPr="00D47EEA" w:rsidRDefault="006854E2" w:rsidP="00E05F6E">
            <w:pPr>
              <w:jc w:val="right"/>
            </w:pPr>
            <w:r w:rsidRPr="006854E2">
              <w:rPr>
                <w:sz w:val="40"/>
              </w:rPr>
              <w:t>E</w:t>
            </w:r>
            <w:r w:rsidR="00645FA2">
              <w:t>/C.12/</w:t>
            </w:r>
            <w:r w:rsidR="00E05F6E">
              <w:t>GC</w:t>
            </w:r>
            <w:r w:rsidR="00645FA2">
              <w:t>/</w:t>
            </w:r>
            <w:r w:rsidR="00E05F6E">
              <w:t>24</w:t>
            </w:r>
          </w:p>
        </w:tc>
      </w:tr>
      <w:tr w:rsidR="009E6CB7" w:rsidTr="00E905F4">
        <w:trPr>
          <w:cantSplit/>
          <w:trHeight w:hRule="exact" w:val="2835"/>
        </w:trPr>
        <w:tc>
          <w:tcPr>
            <w:tcW w:w="1276" w:type="dxa"/>
            <w:tcBorders>
              <w:top w:val="single" w:sz="4" w:space="0" w:color="auto"/>
              <w:bottom w:val="single" w:sz="12" w:space="0" w:color="auto"/>
            </w:tcBorders>
          </w:tcPr>
          <w:p w:rsidR="009E6CB7" w:rsidRDefault="009E6CB7" w:rsidP="00E905F4">
            <w:pPr>
              <w:spacing w:before="120"/>
            </w:pPr>
          </w:p>
        </w:tc>
        <w:tc>
          <w:tcPr>
            <w:tcW w:w="5528" w:type="dxa"/>
            <w:gridSpan w:val="2"/>
            <w:tcBorders>
              <w:top w:val="single" w:sz="4" w:space="0" w:color="auto"/>
              <w:bottom w:val="single" w:sz="12" w:space="0" w:color="auto"/>
            </w:tcBorders>
          </w:tcPr>
          <w:p w:rsidR="009E6CB7" w:rsidRPr="00D773DF" w:rsidRDefault="002C75D7" w:rsidP="00E905F4">
            <w:pPr>
              <w:spacing w:before="120" w:line="420" w:lineRule="exact"/>
              <w:rPr>
                <w:sz w:val="40"/>
                <w:szCs w:val="40"/>
              </w:rPr>
            </w:pPr>
            <w:r w:rsidRPr="002C75D7">
              <w:rPr>
                <w:b/>
                <w:sz w:val="40"/>
                <w:szCs w:val="40"/>
              </w:rPr>
              <w:t>Advance Unedited Version</w:t>
            </w:r>
          </w:p>
        </w:tc>
        <w:tc>
          <w:tcPr>
            <w:tcW w:w="2835" w:type="dxa"/>
            <w:tcBorders>
              <w:top w:val="single" w:sz="4" w:space="0" w:color="auto"/>
              <w:bottom w:val="single" w:sz="12" w:space="0" w:color="auto"/>
            </w:tcBorders>
          </w:tcPr>
          <w:p w:rsidR="009E6CB7" w:rsidRDefault="006854E2" w:rsidP="006854E2">
            <w:pPr>
              <w:spacing w:before="240" w:line="240" w:lineRule="exact"/>
            </w:pPr>
            <w:r>
              <w:t xml:space="preserve">Distr.: </w:t>
            </w:r>
            <w:r w:rsidR="00645FA2">
              <w:t>general</w:t>
            </w:r>
          </w:p>
          <w:p w:rsidR="006854E2" w:rsidRDefault="00645FA2" w:rsidP="006854E2">
            <w:pPr>
              <w:spacing w:line="240" w:lineRule="exact"/>
            </w:pPr>
            <w:r>
              <w:t>23</w:t>
            </w:r>
            <w:r w:rsidR="006854E2">
              <w:t xml:space="preserve"> June 2017</w:t>
            </w:r>
          </w:p>
          <w:p w:rsidR="006854E2" w:rsidRDefault="006854E2" w:rsidP="006854E2">
            <w:pPr>
              <w:spacing w:line="240" w:lineRule="exact"/>
            </w:pPr>
          </w:p>
          <w:p w:rsidR="006854E2" w:rsidRDefault="006854E2" w:rsidP="006854E2">
            <w:pPr>
              <w:spacing w:line="240" w:lineRule="exact"/>
            </w:pPr>
            <w:r>
              <w:t>Original: English</w:t>
            </w:r>
          </w:p>
          <w:p w:rsidR="008F3301" w:rsidRDefault="008F3301" w:rsidP="006854E2">
            <w:pPr>
              <w:spacing w:line="240" w:lineRule="exact"/>
            </w:pPr>
          </w:p>
        </w:tc>
      </w:tr>
    </w:tbl>
    <w:p w:rsidR="006854E2" w:rsidRPr="006854E2" w:rsidRDefault="006854E2" w:rsidP="006854E2">
      <w:pPr>
        <w:spacing w:before="120"/>
        <w:rPr>
          <w:rFonts w:eastAsia="Malgun Gothic"/>
        </w:rPr>
      </w:pPr>
      <w:r w:rsidRPr="006854E2">
        <w:rPr>
          <w:rFonts w:eastAsia="Malgun Gothic"/>
          <w:b/>
          <w:sz w:val="24"/>
          <w:szCs w:val="24"/>
        </w:rPr>
        <w:t>Committee on Economic, Social and Cultural Rights</w:t>
      </w:r>
    </w:p>
    <w:p w:rsidR="006854E2" w:rsidRPr="006854E2" w:rsidRDefault="006854E2" w:rsidP="00645FA2">
      <w:pPr>
        <w:pStyle w:val="HCh"/>
        <w:spacing w:before="360" w:after="240"/>
        <w:ind w:left="1134"/>
        <w:rPr>
          <w:rFonts w:eastAsia="Malgun Gothic"/>
        </w:rPr>
      </w:pPr>
      <w:r w:rsidRPr="006854E2">
        <w:rPr>
          <w:rFonts w:eastAsia="Malgun Gothic"/>
        </w:rPr>
        <w:t>General Comment No. 24 on State Obligations under the International Covenant on Economic, Social and Cultural Rights in the Context of Business Activities</w:t>
      </w:r>
    </w:p>
    <w:p w:rsidR="006854E2" w:rsidRPr="006854E2" w:rsidRDefault="006854E2" w:rsidP="00BA7C63">
      <w:pPr>
        <w:pStyle w:val="HChG"/>
        <w:rPr>
          <w:rFonts w:eastAsia="Malgun Gothic"/>
        </w:rPr>
      </w:pPr>
      <w:r w:rsidRPr="006854E2">
        <w:rPr>
          <w:rFonts w:eastAsia="Malgun Gothic"/>
        </w:rPr>
        <w:tab/>
        <w:t>I.</w:t>
      </w:r>
      <w:r w:rsidRPr="006854E2">
        <w:rPr>
          <w:rFonts w:eastAsia="Malgun Gothic"/>
        </w:rPr>
        <w:tab/>
        <w:t>Introduction</w:t>
      </w:r>
    </w:p>
    <w:p w:rsidR="006854E2" w:rsidRPr="006854E2" w:rsidRDefault="006854E2" w:rsidP="00BA7C63">
      <w:pPr>
        <w:numPr>
          <w:ilvl w:val="0"/>
          <w:numId w:val="12"/>
        </w:numPr>
        <w:spacing w:after="120"/>
        <w:ind w:left="1134" w:right="1134" w:firstLine="0"/>
        <w:jc w:val="both"/>
        <w:rPr>
          <w:rFonts w:eastAsia="Verdana"/>
          <w:color w:val="000000"/>
          <w:u w:color="000000"/>
          <w:bdr w:val="nil"/>
          <w:lang w:val="en-US" w:eastAsia="fr-CH"/>
        </w:rPr>
      </w:pPr>
      <w:r w:rsidRPr="006854E2">
        <w:rPr>
          <w:rFonts w:eastAsia="Malgun Gothic"/>
          <w:lang w:eastAsia="fr-FR"/>
        </w:rPr>
        <w:t xml:space="preserve">Businesses play an important role in the realization of economic, social and cultural rights, </w:t>
      </w:r>
      <w:r w:rsidRPr="006854E2">
        <w:rPr>
          <w:rFonts w:eastAsia="Malgun Gothic"/>
          <w:i/>
          <w:lang w:eastAsia="fr-FR"/>
        </w:rPr>
        <w:t>inter alia</w:t>
      </w:r>
      <w:r w:rsidRPr="006854E2">
        <w:rPr>
          <w:rFonts w:eastAsia="Malgun Gothic"/>
          <w:lang w:eastAsia="fr-FR"/>
        </w:rPr>
        <w:t>, by contributing to the creation of employment opportunities and, through private investment, to development.</w:t>
      </w:r>
      <w:r w:rsidRPr="006854E2">
        <w:rPr>
          <w:rFonts w:eastAsia="Verdana"/>
          <w:u w:color="000000"/>
          <w:bdr w:val="nil"/>
          <w:lang w:val="en-US" w:eastAsia="fr-CH"/>
        </w:rPr>
        <w:t xml:space="preserve"> However, the Committee has been regularly presented with situations in which, as a result of States' failure to ensure compliance with internationally recognized human rights under their jurisdiction, corporate activities negatively affected economic, social and cultural rights. This General Comment seeks to clarify the duties of States parties to the Covenant in such situations, with a view to preventing </w:t>
      </w:r>
      <w:r w:rsidRPr="006854E2">
        <w:rPr>
          <w:rFonts w:eastAsia="Verdana"/>
          <w:color w:val="000000"/>
          <w:u w:color="000000"/>
          <w:bdr w:val="nil"/>
          <w:lang w:val="en-US" w:eastAsia="fr-CH"/>
        </w:rPr>
        <w:t xml:space="preserve">and addressing the adverse impacts of business activities on human rights. </w:t>
      </w:r>
    </w:p>
    <w:p w:rsidR="006854E2" w:rsidRPr="006854E2" w:rsidRDefault="006854E2" w:rsidP="00BA7C63">
      <w:pPr>
        <w:numPr>
          <w:ilvl w:val="0"/>
          <w:numId w:val="12"/>
        </w:numPr>
        <w:spacing w:after="120"/>
        <w:ind w:left="1134" w:right="1134" w:firstLine="0"/>
        <w:jc w:val="both"/>
        <w:rPr>
          <w:rFonts w:eastAsia="Verdana"/>
          <w:color w:val="000000"/>
          <w:u w:color="000000"/>
          <w:bdr w:val="nil"/>
          <w:lang w:val="en-US" w:eastAsia="fr-CH"/>
        </w:rPr>
      </w:pPr>
      <w:r w:rsidRPr="006854E2">
        <w:rPr>
          <w:rFonts w:eastAsia="Verdana"/>
          <w:color w:val="000000"/>
          <w:u w:color="000000"/>
          <w:bdr w:val="nil"/>
          <w:lang w:val="en-US" w:eastAsia="fr-CH"/>
        </w:rPr>
        <w:t>The Committee has previously considered the growing impact of business activities on the enjoyment of specific Covenant rights relating to health,</w:t>
      </w:r>
      <w:r w:rsidRPr="006854E2">
        <w:rPr>
          <w:rFonts w:eastAsia="Verdana"/>
          <w:color w:val="000000"/>
          <w:u w:color="000000"/>
          <w:bdr w:val="nil"/>
          <w:vertAlign w:val="superscript"/>
          <w:lang w:val="en-US" w:eastAsia="fr-CH"/>
        </w:rPr>
        <w:footnoteReference w:id="2"/>
      </w:r>
      <w:r w:rsidRPr="006854E2">
        <w:rPr>
          <w:rFonts w:eastAsia="Verdana"/>
          <w:color w:val="000000"/>
          <w:u w:color="000000"/>
          <w:bdr w:val="nil"/>
          <w:lang w:val="en-US" w:eastAsia="fr-CH"/>
        </w:rPr>
        <w:t xml:space="preserve"> housing,</w:t>
      </w:r>
      <w:r w:rsidRPr="006854E2">
        <w:rPr>
          <w:rFonts w:eastAsia="Verdana"/>
          <w:color w:val="000000"/>
          <w:u w:color="000000"/>
          <w:bdr w:val="nil"/>
          <w:vertAlign w:val="superscript"/>
          <w:lang w:val="en-US" w:eastAsia="fr-CH"/>
        </w:rPr>
        <w:footnoteReference w:id="3"/>
      </w:r>
      <w:r w:rsidRPr="006854E2">
        <w:rPr>
          <w:rFonts w:eastAsia="Verdana"/>
          <w:color w:val="000000"/>
          <w:u w:color="000000"/>
          <w:bdr w:val="nil"/>
          <w:lang w:val="en-US" w:eastAsia="fr-CH"/>
        </w:rPr>
        <w:t xml:space="preserve"> food,</w:t>
      </w:r>
      <w:r w:rsidRPr="006854E2">
        <w:rPr>
          <w:rFonts w:eastAsia="Verdana"/>
          <w:color w:val="000000"/>
          <w:sz w:val="18"/>
          <w:u w:color="000000"/>
          <w:bdr w:val="nil"/>
          <w:vertAlign w:val="superscript"/>
          <w:lang w:val="en-US" w:eastAsia="fr-CH"/>
        </w:rPr>
        <w:footnoteReference w:id="4"/>
      </w:r>
      <w:r w:rsidRPr="006854E2">
        <w:rPr>
          <w:rFonts w:eastAsia="Verdana"/>
          <w:color w:val="000000"/>
          <w:u w:color="000000"/>
          <w:bdr w:val="nil"/>
          <w:lang w:val="en-US" w:eastAsia="fr-CH"/>
        </w:rPr>
        <w:t xml:space="preserve"> water,</w:t>
      </w:r>
      <w:r w:rsidRPr="006854E2">
        <w:rPr>
          <w:rFonts w:eastAsia="Verdana"/>
          <w:color w:val="000000"/>
          <w:u w:color="000000"/>
          <w:bdr w:val="nil"/>
          <w:vertAlign w:val="superscript"/>
          <w:lang w:val="en-US" w:eastAsia="fr-CH"/>
        </w:rPr>
        <w:footnoteReference w:id="5"/>
      </w:r>
      <w:r w:rsidRPr="006854E2">
        <w:rPr>
          <w:rFonts w:eastAsia="Verdana"/>
          <w:color w:val="000000"/>
          <w:u w:color="000000"/>
          <w:bdr w:val="nil"/>
          <w:lang w:val="en-US" w:eastAsia="fr-CH"/>
        </w:rPr>
        <w:t xml:space="preserve"> social security,</w:t>
      </w:r>
      <w:r w:rsidRPr="006854E2">
        <w:rPr>
          <w:rFonts w:eastAsia="Verdana"/>
          <w:color w:val="000000"/>
          <w:u w:color="000000"/>
          <w:bdr w:val="nil"/>
          <w:vertAlign w:val="superscript"/>
          <w:lang w:val="en-US" w:eastAsia="fr-CH"/>
        </w:rPr>
        <w:footnoteReference w:id="6"/>
      </w:r>
      <w:r w:rsidRPr="006854E2">
        <w:rPr>
          <w:rFonts w:eastAsia="Verdana"/>
          <w:color w:val="000000"/>
          <w:u w:color="000000"/>
          <w:bdr w:val="nil"/>
          <w:lang w:val="en-US" w:eastAsia="fr-CH"/>
        </w:rPr>
        <w:t xml:space="preserve"> the right to work,</w:t>
      </w:r>
      <w:r w:rsidRPr="006854E2">
        <w:rPr>
          <w:rFonts w:eastAsia="Verdana"/>
          <w:color w:val="000000"/>
          <w:u w:color="000000"/>
          <w:bdr w:val="nil"/>
          <w:vertAlign w:val="superscript"/>
          <w:lang w:val="en-US" w:eastAsia="fr-CH"/>
        </w:rPr>
        <w:footnoteReference w:id="7"/>
      </w:r>
      <w:r w:rsidRPr="006854E2">
        <w:rPr>
          <w:rFonts w:eastAsia="Verdana"/>
          <w:color w:val="000000"/>
          <w:u w:color="000000"/>
          <w:bdr w:val="nil"/>
          <w:lang w:val="en-US" w:eastAsia="fr-CH"/>
        </w:rPr>
        <w:t xml:space="preserve"> the right to just and favorable conditions of work</w:t>
      </w:r>
      <w:r w:rsidRPr="006854E2">
        <w:rPr>
          <w:rFonts w:eastAsia="Verdana"/>
          <w:color w:val="000000"/>
          <w:u w:color="000000"/>
          <w:bdr w:val="nil"/>
          <w:vertAlign w:val="superscript"/>
          <w:lang w:val="en-US" w:eastAsia="fr-CH"/>
        </w:rPr>
        <w:footnoteReference w:id="8"/>
      </w:r>
      <w:r w:rsidRPr="006854E2">
        <w:rPr>
          <w:rFonts w:eastAsia="Verdana"/>
          <w:color w:val="000000"/>
          <w:u w:color="000000"/>
          <w:bdr w:val="nil"/>
          <w:lang w:val="en-US" w:eastAsia="fr-CH"/>
        </w:rPr>
        <w:t xml:space="preserve"> and the right to form and join trade unions.</w:t>
      </w:r>
      <w:r w:rsidRPr="006854E2">
        <w:rPr>
          <w:rFonts w:eastAsia="Verdana"/>
          <w:color w:val="000000"/>
          <w:sz w:val="18"/>
          <w:u w:color="000000"/>
          <w:bdr w:val="nil"/>
          <w:vertAlign w:val="superscript"/>
          <w:lang w:val="en-US" w:eastAsia="fr-CH"/>
        </w:rPr>
        <w:footnoteReference w:id="9"/>
      </w:r>
      <w:r w:rsidRPr="006854E2">
        <w:rPr>
          <w:rFonts w:eastAsia="Verdana"/>
          <w:color w:val="000000"/>
          <w:u w:color="000000"/>
          <w:bdr w:val="nil"/>
          <w:lang w:val="en-US" w:eastAsia="fr-CH"/>
        </w:rPr>
        <w:t xml:space="preserve"> In addition, the Committee has also addressed the issue in concluding observations</w:t>
      </w:r>
      <w:r w:rsidRPr="006854E2">
        <w:rPr>
          <w:rFonts w:eastAsia="Verdana"/>
          <w:color w:val="000000"/>
          <w:u w:color="000000"/>
          <w:bdr w:val="nil"/>
          <w:vertAlign w:val="superscript"/>
          <w:lang w:val="en-US" w:eastAsia="fr-CH"/>
        </w:rPr>
        <w:footnoteReference w:id="10"/>
      </w:r>
      <w:r w:rsidRPr="006854E2">
        <w:rPr>
          <w:rFonts w:eastAsia="Verdana"/>
          <w:color w:val="000000"/>
          <w:u w:color="000000"/>
          <w:bdr w:val="nil"/>
          <w:lang w:val="en-US" w:eastAsia="fr-CH"/>
        </w:rPr>
        <w:t xml:space="preserve"> on States Parties’ reports and in its first decision on an individual communication.</w:t>
      </w:r>
      <w:r w:rsidRPr="006854E2">
        <w:rPr>
          <w:rFonts w:eastAsia="Verdana"/>
          <w:color w:val="000000"/>
          <w:u w:color="000000"/>
          <w:bdr w:val="nil"/>
          <w:vertAlign w:val="superscript"/>
          <w:lang w:val="en-US" w:eastAsia="fr-CH"/>
        </w:rPr>
        <w:footnoteReference w:id="11"/>
      </w:r>
      <w:r w:rsidRPr="006854E2">
        <w:rPr>
          <w:rFonts w:eastAsia="Verdana"/>
          <w:color w:val="000000"/>
          <w:u w:color="000000"/>
          <w:bdr w:val="nil"/>
          <w:lang w:val="en-US" w:eastAsia="fr-CH"/>
        </w:rPr>
        <w:t xml:space="preserve"> In 2011, it adopted </w:t>
      </w:r>
      <w:r w:rsidRPr="006854E2">
        <w:rPr>
          <w:rFonts w:eastAsia="Verdana"/>
          <w:iCs/>
          <w:color w:val="000000"/>
          <w:u w:color="000000"/>
          <w:bdr w:val="nil"/>
          <w:lang w:val="en-US" w:eastAsia="fr-CH"/>
        </w:rPr>
        <w:t>a Statement on State obligations related to corporate responsibilities in the context of the Covenant rights.</w:t>
      </w:r>
      <w:r w:rsidRPr="006854E2">
        <w:rPr>
          <w:rFonts w:eastAsia="Verdana"/>
          <w:color w:val="000000"/>
          <w:u w:color="000000"/>
          <w:bdr w:val="nil"/>
          <w:vertAlign w:val="superscript"/>
          <w:lang w:val="en-US" w:eastAsia="fr-CH"/>
        </w:rPr>
        <w:footnoteReference w:id="12"/>
      </w:r>
      <w:r w:rsidRPr="006854E2">
        <w:rPr>
          <w:rFonts w:eastAsia="Verdana"/>
          <w:i/>
          <w:iCs/>
          <w:color w:val="000000"/>
          <w:u w:color="000000"/>
          <w:bdr w:val="nil"/>
          <w:lang w:val="en-US" w:eastAsia="fr-CH"/>
        </w:rPr>
        <w:t xml:space="preserve"> </w:t>
      </w:r>
      <w:r w:rsidRPr="006854E2">
        <w:rPr>
          <w:rFonts w:eastAsia="Verdana"/>
          <w:color w:val="000000"/>
          <w:u w:color="000000"/>
          <w:bdr w:val="nil"/>
          <w:lang w:val="en-US" w:eastAsia="fr-CH"/>
        </w:rPr>
        <w:t xml:space="preserve">The present General Comment should be read together with these earlier contributions. It also takes into account </w:t>
      </w:r>
      <w:r w:rsidRPr="006854E2">
        <w:rPr>
          <w:rFonts w:eastAsia="Verdana"/>
          <w:color w:val="000000"/>
          <w:u w:color="000000"/>
          <w:bdr w:val="nil"/>
          <w:lang w:val="en-US" w:eastAsia="fr-CH"/>
        </w:rPr>
        <w:lastRenderedPageBreak/>
        <w:t>advances within the International Labour Organisation</w:t>
      </w:r>
      <w:r w:rsidRPr="006854E2">
        <w:rPr>
          <w:rFonts w:eastAsia="Verdana"/>
          <w:color w:val="000000"/>
          <w:sz w:val="18"/>
          <w:u w:color="000000"/>
          <w:bdr w:val="nil"/>
          <w:vertAlign w:val="superscript"/>
          <w:lang w:val="en-US" w:eastAsia="fr-CH"/>
        </w:rPr>
        <w:footnoteReference w:id="13"/>
      </w:r>
      <w:r w:rsidRPr="006854E2">
        <w:rPr>
          <w:rFonts w:eastAsia="Verdana"/>
          <w:color w:val="000000"/>
          <w:u w:color="000000"/>
          <w:bdr w:val="nil"/>
          <w:lang w:val="en-US" w:eastAsia="fr-CH"/>
        </w:rPr>
        <w:t xml:space="preserve"> or within regional organisations such as the Council of Europe.</w:t>
      </w:r>
      <w:r w:rsidRPr="006854E2">
        <w:rPr>
          <w:rFonts w:eastAsia="Verdana"/>
          <w:color w:val="000000"/>
          <w:sz w:val="18"/>
          <w:u w:color="000000"/>
          <w:bdr w:val="nil"/>
          <w:vertAlign w:val="superscript"/>
          <w:lang w:val="en-US" w:eastAsia="fr-CH"/>
        </w:rPr>
        <w:footnoteReference w:id="14"/>
      </w:r>
      <w:r w:rsidRPr="006854E2">
        <w:rPr>
          <w:rFonts w:eastAsia="Verdana"/>
          <w:color w:val="000000"/>
          <w:u w:color="000000"/>
          <w:bdr w:val="nil"/>
          <w:lang w:val="en-US" w:eastAsia="fr-CH"/>
        </w:rPr>
        <w:t xml:space="preserve"> In adopting this General Comment, the Committee has considered the Guiding Principles on Business and Human Rights endorsed by the Human Rights Council in 2011,</w:t>
      </w:r>
      <w:r w:rsidRPr="006854E2">
        <w:rPr>
          <w:rFonts w:eastAsia="Verdana"/>
          <w:color w:val="000000"/>
          <w:u w:color="000000"/>
          <w:bdr w:val="nil"/>
          <w:vertAlign w:val="superscript"/>
          <w:lang w:val="en-US" w:eastAsia="fr-CH"/>
        </w:rPr>
        <w:footnoteReference w:id="15"/>
      </w:r>
      <w:r w:rsidRPr="006854E2">
        <w:rPr>
          <w:rFonts w:eastAsia="Verdana"/>
          <w:color w:val="000000"/>
          <w:u w:color="000000"/>
          <w:bdr w:val="nil"/>
          <w:lang w:val="en-US" w:eastAsia="fr-CH"/>
        </w:rPr>
        <w:t xml:space="preserve"> as well as the contributions made to this issue by human rights treaty bodies and various Special Procedures.</w:t>
      </w:r>
      <w:r w:rsidRPr="006854E2">
        <w:rPr>
          <w:rFonts w:eastAsia="Verdana"/>
          <w:color w:val="000000"/>
          <w:u w:color="000000"/>
          <w:bdr w:val="nil"/>
          <w:vertAlign w:val="superscript"/>
          <w:lang w:val="en-US" w:eastAsia="fr-CH"/>
        </w:rPr>
        <w:footnoteReference w:id="16"/>
      </w:r>
    </w:p>
    <w:p w:rsidR="006854E2" w:rsidRPr="006854E2" w:rsidRDefault="006854E2" w:rsidP="00BA7C63">
      <w:pPr>
        <w:pStyle w:val="HChG"/>
        <w:rPr>
          <w:rFonts w:eastAsia="Verdana"/>
          <w:u w:color="000000"/>
          <w:bdr w:val="nil"/>
          <w:lang w:val="en-US" w:eastAsia="fr-CH"/>
        </w:rPr>
      </w:pPr>
      <w:r w:rsidRPr="006854E2">
        <w:rPr>
          <w:rFonts w:eastAsia="Helvetica"/>
          <w:u w:color="000000"/>
          <w:bdr w:val="nil"/>
          <w:lang w:val="en-US" w:eastAsia="fr-CH"/>
        </w:rPr>
        <w:tab/>
        <w:t>II.</w:t>
      </w:r>
      <w:r w:rsidRPr="006854E2">
        <w:rPr>
          <w:rFonts w:eastAsia="Helvetica"/>
          <w:u w:color="000000"/>
          <w:bdr w:val="nil"/>
          <w:lang w:val="en-US" w:eastAsia="fr-CH"/>
        </w:rPr>
        <w:tab/>
        <w:t>Context and Scope</w:t>
      </w:r>
    </w:p>
    <w:p w:rsidR="006854E2" w:rsidRPr="006854E2" w:rsidRDefault="006854E2" w:rsidP="00BA7C63">
      <w:pPr>
        <w:numPr>
          <w:ilvl w:val="0"/>
          <w:numId w:val="12"/>
        </w:numPr>
        <w:spacing w:after="120"/>
        <w:ind w:left="1134" w:right="1134" w:firstLine="0"/>
        <w:jc w:val="both"/>
        <w:rPr>
          <w:rFonts w:eastAsia="Verdana"/>
          <w:color w:val="000000"/>
          <w:u w:color="000000"/>
          <w:bdr w:val="nil"/>
          <w:lang w:val="en-US" w:eastAsia="fr-CH"/>
        </w:rPr>
      </w:pPr>
      <w:r w:rsidRPr="006854E2">
        <w:rPr>
          <w:rFonts w:eastAsia="Verdana"/>
          <w:color w:val="000000"/>
          <w:u w:color="000000"/>
          <w:bdr w:val="nil"/>
          <w:lang w:val="en-US" w:eastAsia="fr-CH"/>
        </w:rPr>
        <w:t>For the purposes of this General Comment, business activities include all activities of business entities, whether they operate transnationally or whether their activities are purely domestic, whether fully privately owned or State-owned, regardless of size, sector, location, ownership and structure.</w:t>
      </w:r>
    </w:p>
    <w:p w:rsidR="006854E2" w:rsidRPr="006854E2" w:rsidRDefault="006854E2" w:rsidP="00BA7C63">
      <w:pPr>
        <w:numPr>
          <w:ilvl w:val="0"/>
          <w:numId w:val="12"/>
        </w:numPr>
        <w:spacing w:after="120"/>
        <w:ind w:left="1134" w:right="1134" w:firstLine="0"/>
        <w:jc w:val="both"/>
        <w:rPr>
          <w:rFonts w:eastAsia="Verdana"/>
          <w:color w:val="000000"/>
          <w:u w:color="000000"/>
          <w:bdr w:val="nil"/>
          <w:lang w:val="en-US" w:eastAsia="fr-CH"/>
        </w:rPr>
      </w:pPr>
      <w:r w:rsidRPr="006854E2">
        <w:rPr>
          <w:rFonts w:eastAsia="Verdana"/>
          <w:color w:val="000000"/>
          <w:u w:color="000000"/>
          <w:bdr w:val="nil"/>
          <w:lang w:val="en-US" w:eastAsia="fr-CH"/>
        </w:rPr>
        <w:t>In certain jurisdictions individuals enjoy direct recourse against business entities for violations of economic, social and cultural rights, whether in order to impose on such private entities (negative) duties to refrain from certain courses of conduct or to impose (positive) duties to adopt certain measures or to contribute to the fulfillment of such rights.</w:t>
      </w:r>
      <w:r w:rsidRPr="006854E2">
        <w:rPr>
          <w:rFonts w:eastAsia="Verdana"/>
          <w:color w:val="000000"/>
          <w:sz w:val="18"/>
          <w:u w:color="000000"/>
          <w:bdr w:val="nil"/>
          <w:vertAlign w:val="superscript"/>
          <w:lang w:val="en-US" w:eastAsia="fr-CH"/>
        </w:rPr>
        <w:footnoteReference w:id="17"/>
      </w:r>
      <w:r w:rsidRPr="006854E2">
        <w:rPr>
          <w:rFonts w:eastAsia="Verdana"/>
          <w:color w:val="000000"/>
          <w:u w:color="000000"/>
          <w:bdr w:val="nil"/>
          <w:lang w:val="en-US" w:eastAsia="fr-CH"/>
        </w:rPr>
        <w:t xml:space="preserve"> There are also a large number of domestic laws designed to protect specific economic, social and cultural rights that apply directly to business entities such as in the areas of non-discrimination, health care provision, education, the environment, employment relations and consumer safety.  </w:t>
      </w:r>
    </w:p>
    <w:p w:rsidR="006854E2" w:rsidRPr="006854E2" w:rsidRDefault="006854E2" w:rsidP="00BA7C63">
      <w:pPr>
        <w:numPr>
          <w:ilvl w:val="0"/>
          <w:numId w:val="12"/>
        </w:numPr>
        <w:spacing w:after="120"/>
        <w:ind w:left="1134" w:right="1134" w:firstLine="0"/>
        <w:jc w:val="both"/>
        <w:rPr>
          <w:rFonts w:eastAsia="Verdana"/>
          <w:color w:val="000000"/>
          <w:u w:color="000000"/>
          <w:bdr w:val="nil"/>
          <w:lang w:val="en-US" w:eastAsia="fr-CH"/>
        </w:rPr>
      </w:pPr>
      <w:r w:rsidRPr="006854E2">
        <w:rPr>
          <w:rFonts w:eastAsia="Verdana"/>
          <w:color w:val="000000"/>
          <w:u w:color="000000"/>
          <w:bdr w:val="nil"/>
          <w:lang w:val="en-US" w:eastAsia="fr-CH"/>
        </w:rPr>
        <w:t>In addition, under international standards, business entities are expected to respect Covenant rights regardless of whether domestic laws exist or whether they are fully enforced in practice.</w:t>
      </w:r>
      <w:r w:rsidRPr="006854E2">
        <w:rPr>
          <w:rFonts w:eastAsia="Verdana"/>
          <w:color w:val="000000"/>
          <w:sz w:val="18"/>
          <w:u w:color="000000"/>
          <w:bdr w:val="nil"/>
          <w:vertAlign w:val="superscript"/>
          <w:lang w:val="en-US" w:eastAsia="fr-CH"/>
        </w:rPr>
        <w:footnoteReference w:id="18"/>
      </w:r>
      <w:r w:rsidRPr="006854E2">
        <w:rPr>
          <w:rFonts w:eastAsia="Verdana"/>
          <w:color w:val="000000"/>
          <w:u w:color="000000"/>
          <w:bdr w:val="nil"/>
          <w:lang w:val="en-US" w:eastAsia="fr-CH"/>
        </w:rPr>
        <w:t xml:space="preserve"> The present General Comment therefore also seeks to assist the corporate sector in discharging their human rights obligations and assuming their responsibilities, thus mitigating any reputational risks that may be associated with violations of Covenant rights within their sphere of influence.</w:t>
      </w:r>
    </w:p>
    <w:p w:rsidR="006854E2" w:rsidRPr="006854E2" w:rsidRDefault="006854E2" w:rsidP="00BA7C63">
      <w:pPr>
        <w:numPr>
          <w:ilvl w:val="0"/>
          <w:numId w:val="12"/>
        </w:numPr>
        <w:spacing w:after="120"/>
        <w:ind w:left="1134" w:right="1134" w:firstLine="0"/>
        <w:jc w:val="both"/>
        <w:rPr>
          <w:rFonts w:eastAsia="Verdana"/>
          <w:color w:val="000000"/>
          <w:u w:color="000000"/>
          <w:bdr w:val="nil"/>
          <w:lang w:val="en-US" w:eastAsia="fr-CH"/>
        </w:rPr>
      </w:pPr>
      <w:r w:rsidRPr="006854E2">
        <w:rPr>
          <w:rFonts w:eastAsia="Verdana"/>
          <w:color w:val="000000"/>
          <w:u w:color="000000"/>
          <w:bdr w:val="nil"/>
          <w:lang w:val="en-US" w:eastAsia="fr-CH"/>
        </w:rPr>
        <w:t>This General Comment could also assist workers' organisations and employers in the context of collective bargaining. A large number of States Parties require workplace procedures for the examination of grievances brought by workers, individually or collectively, without threat of reprisal.</w:t>
      </w:r>
      <w:r w:rsidRPr="006854E2">
        <w:rPr>
          <w:rFonts w:eastAsia="Verdana"/>
          <w:color w:val="000000"/>
          <w:sz w:val="18"/>
          <w:u w:color="000000"/>
          <w:bdr w:val="nil"/>
          <w:vertAlign w:val="superscript"/>
          <w:lang w:val="en-US" w:eastAsia="fr-CH"/>
        </w:rPr>
        <w:footnoteReference w:id="19"/>
      </w:r>
      <w:r w:rsidRPr="006854E2">
        <w:rPr>
          <w:rFonts w:eastAsia="Verdana"/>
          <w:color w:val="000000"/>
          <w:u w:color="000000"/>
          <w:bdr w:val="nil"/>
          <w:lang w:val="en-US" w:eastAsia="fr-CH"/>
        </w:rPr>
        <w:t xml:space="preserve"> Social dialogue and the availability of grievance mechanisms for workers could be more systematically relied upon, particularly for the implementation of articles 6 and 7 of the Covenant.</w:t>
      </w:r>
    </w:p>
    <w:p w:rsidR="006854E2" w:rsidRPr="006854E2" w:rsidRDefault="006854E2" w:rsidP="00BA7C63">
      <w:pPr>
        <w:pStyle w:val="HChG"/>
        <w:rPr>
          <w:rFonts w:eastAsia="Verdana"/>
        </w:rPr>
      </w:pPr>
      <w:r w:rsidRPr="006854E2">
        <w:rPr>
          <w:rFonts w:eastAsia="Verdana"/>
          <w:spacing w:val="-2"/>
          <w:w w:val="103"/>
          <w:kern w:val="14"/>
          <w:szCs w:val="24"/>
          <w:lang w:val="en-US" w:eastAsia="zh-CN"/>
        </w:rPr>
        <w:lastRenderedPageBreak/>
        <w:tab/>
      </w:r>
      <w:r w:rsidRPr="006854E2">
        <w:rPr>
          <w:rFonts w:eastAsia="Verdana"/>
        </w:rPr>
        <w:t>III.</w:t>
      </w:r>
      <w:r w:rsidRPr="006854E2">
        <w:rPr>
          <w:rFonts w:eastAsia="Verdana"/>
        </w:rPr>
        <w:tab/>
        <w:t>Obligations of States Parties under the Covenant</w:t>
      </w:r>
    </w:p>
    <w:p w:rsidR="006854E2" w:rsidRPr="006854E2" w:rsidRDefault="006854E2" w:rsidP="00BA7C63">
      <w:pPr>
        <w:pStyle w:val="H1G"/>
        <w:rPr>
          <w:rFonts w:eastAsia="Verdana"/>
          <w:u w:color="000000"/>
          <w:bdr w:val="nil"/>
          <w:lang w:val="fr-FR" w:eastAsia="fr-CH"/>
        </w:rPr>
      </w:pPr>
      <w:r w:rsidRPr="006854E2">
        <w:rPr>
          <w:rFonts w:eastAsia="Malgun Gothic"/>
          <w:u w:color="000000"/>
          <w:bdr w:val="nil"/>
          <w:lang w:val="fr-FR" w:eastAsia="fr-CH"/>
        </w:rPr>
        <w:tab/>
        <w:t>A.</w:t>
      </w:r>
      <w:r w:rsidRPr="006854E2">
        <w:rPr>
          <w:rFonts w:eastAsia="Malgun Gothic"/>
          <w:u w:color="000000"/>
          <w:bdr w:val="nil"/>
          <w:lang w:val="fr-FR" w:eastAsia="fr-CH"/>
        </w:rPr>
        <w:tab/>
        <w:t>Obligations of Non-Discrimination</w:t>
      </w:r>
    </w:p>
    <w:p w:rsidR="006854E2" w:rsidRPr="006854E2" w:rsidRDefault="006854E2" w:rsidP="00BA7C63">
      <w:pPr>
        <w:numPr>
          <w:ilvl w:val="0"/>
          <w:numId w:val="12"/>
        </w:numPr>
        <w:spacing w:after="120"/>
        <w:ind w:left="1134" w:right="1134" w:firstLine="0"/>
        <w:jc w:val="both"/>
        <w:rPr>
          <w:rFonts w:eastAsia="Verdana"/>
          <w:color w:val="000000"/>
          <w:u w:color="000000"/>
          <w:bdr w:val="nil"/>
          <w:lang w:val="en-US" w:eastAsia="fr-CH"/>
        </w:rPr>
      </w:pPr>
      <w:r w:rsidRPr="006854E2">
        <w:rPr>
          <w:rFonts w:eastAsia="Verdana"/>
          <w:color w:val="000000"/>
          <w:u w:color="000000"/>
          <w:bdr w:val="nil"/>
          <w:lang w:val="en-US" w:eastAsia="fr-CH"/>
        </w:rPr>
        <w:t>The Committee has previously underlined that discrimination in the exercise of the economic, social and cultural rights is frequently found in private spheres, including in workplaces and labour market</w:t>
      </w:r>
      <w:r w:rsidRPr="006854E2">
        <w:rPr>
          <w:rFonts w:eastAsia="Verdana"/>
          <w:color w:val="000000"/>
          <w:u w:color="000000"/>
          <w:bdr w:val="nil"/>
          <w:vertAlign w:val="superscript"/>
          <w:lang w:val="en-US" w:eastAsia="fr-CH"/>
        </w:rPr>
        <w:footnoteReference w:id="20"/>
      </w:r>
      <w:r w:rsidRPr="006854E2">
        <w:rPr>
          <w:rFonts w:eastAsia="Verdana"/>
          <w:color w:val="000000"/>
          <w:u w:color="000000"/>
          <w:bdr w:val="nil"/>
          <w:lang w:val="en-US" w:eastAsia="fr-CH"/>
        </w:rPr>
        <w:t xml:space="preserve"> and in the housing and lending sectors.</w:t>
      </w:r>
      <w:r w:rsidR="002A562B">
        <w:rPr>
          <w:rStyle w:val="FootnoteReference"/>
          <w:rFonts w:eastAsia="Verdana"/>
          <w:color w:val="000000"/>
          <w:u w:color="000000"/>
          <w:bdr w:val="nil"/>
          <w:lang w:val="en-US" w:eastAsia="fr-CH"/>
        </w:rPr>
        <w:footnoteReference w:id="21"/>
      </w:r>
      <w:r w:rsidR="002A562B" w:rsidRPr="006854E2">
        <w:rPr>
          <w:rFonts w:eastAsia="Verdana"/>
          <w:color w:val="000000"/>
          <w:u w:color="000000"/>
          <w:bdr w:val="nil"/>
          <w:shd w:val="clear" w:color="auto" w:fill="FEFEFE"/>
          <w:lang w:val="en-US" w:eastAsia="fr-CH"/>
        </w:rPr>
        <w:t xml:space="preserve"> </w:t>
      </w:r>
      <w:r w:rsidRPr="006854E2">
        <w:rPr>
          <w:rFonts w:eastAsia="Verdana"/>
          <w:color w:val="000000"/>
          <w:u w:color="000000"/>
          <w:bdr w:val="nil"/>
          <w:shd w:val="clear" w:color="auto" w:fill="FEFEFE"/>
          <w:lang w:val="en-US" w:eastAsia="fr-CH"/>
        </w:rPr>
        <w:t>Under articles 2 and 3 of the Covenant, States Parties have the obligation to guarantee the enjoyment of Covenant rights to all without discrimination.</w:t>
      </w:r>
      <w:r w:rsidRPr="006854E2">
        <w:rPr>
          <w:rFonts w:eastAsia="Verdana"/>
          <w:color w:val="000000"/>
          <w:u w:color="000000"/>
          <w:bdr w:val="nil"/>
          <w:shd w:val="clear" w:color="auto" w:fill="FEFEFE"/>
          <w:vertAlign w:val="superscript"/>
          <w:lang w:val="en-US" w:eastAsia="fr-CH"/>
        </w:rPr>
        <w:footnoteReference w:id="22"/>
      </w:r>
      <w:r w:rsidRPr="006854E2">
        <w:rPr>
          <w:rFonts w:eastAsia="Verdana"/>
          <w:color w:val="000000"/>
          <w:u w:color="000000"/>
          <w:bdr w:val="nil"/>
          <w:shd w:val="clear" w:color="auto" w:fill="FEFEFE"/>
          <w:lang w:val="en-US" w:eastAsia="fr-CH"/>
        </w:rPr>
        <w:t xml:space="preserve"> </w:t>
      </w:r>
      <w:r w:rsidRPr="006854E2">
        <w:rPr>
          <w:rFonts w:eastAsia="Verdana"/>
          <w:color w:val="000000"/>
          <w:u w:color="000000"/>
          <w:bdr w:val="nil"/>
          <w:lang w:val="en-US" w:eastAsia="fr-CH"/>
        </w:rPr>
        <w:t>The requirement to eliminate formal as well as substantive forms of discrimination</w:t>
      </w:r>
      <w:r w:rsidRPr="006854E2">
        <w:rPr>
          <w:rFonts w:eastAsia="Verdana"/>
          <w:color w:val="000000"/>
          <w:u w:color="000000"/>
          <w:bdr w:val="nil"/>
          <w:vertAlign w:val="superscript"/>
          <w:lang w:val="en-US" w:eastAsia="fr-CH"/>
        </w:rPr>
        <w:footnoteReference w:id="23"/>
      </w:r>
      <w:r w:rsidRPr="006854E2">
        <w:rPr>
          <w:rFonts w:eastAsia="Verdana"/>
          <w:color w:val="000000"/>
          <w:u w:color="000000"/>
          <w:bdr w:val="nil"/>
          <w:lang w:val="en-US" w:eastAsia="fr-CH"/>
        </w:rPr>
        <w:t xml:space="preserve"> includes a duty to</w:t>
      </w:r>
      <w:r w:rsidRPr="006854E2">
        <w:rPr>
          <w:rFonts w:eastAsia="Verdana"/>
          <w:color w:val="000000"/>
          <w:u w:color="000000"/>
          <w:bdr w:val="nil"/>
          <w:shd w:val="clear" w:color="auto" w:fill="FEFEFE"/>
          <w:lang w:val="en-US" w:eastAsia="fr-CH"/>
        </w:rPr>
        <w:t xml:space="preserve"> prohibit discrimination by non-State entities in the exercise of economic, social and cultural rights. </w:t>
      </w:r>
    </w:p>
    <w:p w:rsidR="006854E2" w:rsidRPr="006854E2" w:rsidRDefault="006854E2" w:rsidP="00BA7C63">
      <w:pPr>
        <w:numPr>
          <w:ilvl w:val="0"/>
          <w:numId w:val="12"/>
        </w:numPr>
        <w:spacing w:after="120"/>
        <w:ind w:left="1134" w:right="1134" w:firstLine="0"/>
        <w:jc w:val="both"/>
        <w:rPr>
          <w:rFonts w:eastAsia="Verdana"/>
          <w:color w:val="000000"/>
          <w:u w:color="000000"/>
          <w:bdr w:val="nil"/>
          <w:lang w:val="en-US" w:eastAsia="fr-CH"/>
        </w:rPr>
      </w:pPr>
      <w:r w:rsidRPr="006854E2">
        <w:rPr>
          <w:rFonts w:eastAsia="Verdana"/>
          <w:color w:val="000000"/>
          <w:u w:color="000000"/>
          <w:bdr w:val="nil"/>
          <w:lang w:val="en-US" w:eastAsia="fr-CH"/>
        </w:rPr>
        <w:t>Among the groups that are often disproportionately affected by the adverse impact of business activities are women, children, indigenous peoples particularly in relation to the development, utilization or exploitation of lands and natural resources,</w:t>
      </w:r>
      <w:r w:rsidRPr="006854E2">
        <w:rPr>
          <w:rFonts w:eastAsia="Verdana"/>
          <w:color w:val="000000"/>
          <w:sz w:val="18"/>
          <w:u w:color="000000"/>
          <w:bdr w:val="nil"/>
          <w:vertAlign w:val="superscript"/>
          <w:lang w:val="en-US" w:eastAsia="fr-CH"/>
        </w:rPr>
        <w:footnoteReference w:id="24"/>
      </w:r>
      <w:r w:rsidRPr="006854E2">
        <w:rPr>
          <w:rFonts w:eastAsia="Verdana"/>
          <w:color w:val="000000"/>
          <w:u w:color="000000"/>
          <w:bdr w:val="nil"/>
          <w:lang w:val="en-US" w:eastAsia="fr-CH"/>
        </w:rPr>
        <w:t xml:space="preserve"> peasants, fisherfolks and other people working in rural areas, and ethnic or religious minorities where they are politically disempowered. Persons with disabilities are also often disproportionately affected by the negative impacts of business activities, in particular because they face particular barriers in accessing accountability and remedy mechanisms. As noted by the Committee </w:t>
      </w:r>
      <w:r w:rsidRPr="006854E2">
        <w:rPr>
          <w:rFonts w:eastAsia="MS Mincho"/>
          <w:lang w:eastAsia="ja-JP"/>
        </w:rPr>
        <w:t xml:space="preserve">on previous occasions, asylum-seekers and undocumented migrants are at particular risk of facing discrimination in the enjoyment of Covenant rights due to their precarious situation, and </w:t>
      </w:r>
      <w:r w:rsidRPr="006854E2">
        <w:rPr>
          <w:rFonts w:eastAsia="MS Mincho"/>
          <w:bCs/>
          <w:noProof/>
          <w:lang w:val="en-US" w:eastAsia="fr-FR"/>
        </w:rPr>
        <w:t xml:space="preserve">under Article 7 of the Covenant, migrant </w:t>
      </w:r>
      <w:r w:rsidRPr="006854E2">
        <w:rPr>
          <w:rFonts w:eastAsia="MS Mincho"/>
          <w:noProof/>
          <w:lang w:val="en-US" w:eastAsia="fr-FR"/>
        </w:rPr>
        <w:t>workers are particularly vulnerable to exploitation, long working hours, unfair wages and dangerous and unhealthy working environments.</w:t>
      </w:r>
      <w:r w:rsidRPr="006854E2">
        <w:rPr>
          <w:rFonts w:eastAsia="MS Mincho"/>
          <w:noProof/>
          <w:vertAlign w:val="superscript"/>
          <w:lang w:val="en-US" w:eastAsia="fr-FR"/>
        </w:rPr>
        <w:footnoteReference w:id="25"/>
      </w:r>
    </w:p>
    <w:p w:rsidR="006854E2" w:rsidRPr="006854E2" w:rsidRDefault="006854E2" w:rsidP="00BA7C63">
      <w:pPr>
        <w:numPr>
          <w:ilvl w:val="0"/>
          <w:numId w:val="12"/>
        </w:numPr>
        <w:spacing w:after="120"/>
        <w:ind w:left="1134" w:right="1134" w:firstLine="0"/>
        <w:jc w:val="both"/>
        <w:rPr>
          <w:rFonts w:eastAsia="Verdana"/>
          <w:color w:val="000000"/>
          <w:u w:color="000000"/>
          <w:bdr w:val="nil"/>
          <w:lang w:val="en-US" w:eastAsia="fr-CH"/>
        </w:rPr>
      </w:pPr>
      <w:r w:rsidRPr="006854E2">
        <w:rPr>
          <w:rFonts w:eastAsia="Verdana"/>
          <w:color w:val="000000"/>
          <w:u w:color="000000"/>
          <w:bdr w:val="nil"/>
          <w:lang w:val="en-US" w:eastAsia="fr-CH"/>
        </w:rPr>
        <w:t>Certain segments of the population face a greater risk of suffering intersectional and multiple discrimination.</w:t>
      </w:r>
      <w:r w:rsidRPr="006854E2">
        <w:rPr>
          <w:rFonts w:eastAsia="Verdana"/>
          <w:color w:val="000000"/>
          <w:u w:color="000000"/>
          <w:bdr w:val="nil"/>
          <w:vertAlign w:val="superscript"/>
          <w:lang w:val="en-US" w:eastAsia="fr-CH"/>
        </w:rPr>
        <w:footnoteReference w:id="26"/>
      </w:r>
      <w:r w:rsidRPr="006854E2">
        <w:rPr>
          <w:rFonts w:eastAsia="Verdana"/>
          <w:color w:val="000000"/>
          <w:u w:color="000000"/>
          <w:bdr w:val="nil"/>
          <w:lang w:val="en-US" w:eastAsia="fr-CH"/>
        </w:rPr>
        <w:t xml:space="preserve"> For instance, investment-linked evictions and displacements often result in physical and sexual violence against, and inadequate compensation and additional burdens related to resettlement for, women and girls.</w:t>
      </w:r>
      <w:r w:rsidRPr="006854E2">
        <w:rPr>
          <w:rFonts w:eastAsia="Verdana"/>
          <w:color w:val="000000"/>
          <w:u w:color="000000"/>
          <w:bdr w:val="nil"/>
          <w:vertAlign w:val="superscript"/>
          <w:lang w:val="en-US" w:eastAsia="fr-CH"/>
        </w:rPr>
        <w:footnoteReference w:id="27"/>
      </w:r>
      <w:r w:rsidRPr="006854E2">
        <w:rPr>
          <w:rFonts w:eastAsia="Verdana"/>
          <w:color w:val="000000"/>
          <w:u w:color="000000"/>
          <w:bdr w:val="nil"/>
          <w:lang w:val="en-US" w:eastAsia="fr-CH"/>
        </w:rPr>
        <w:t xml:space="preserve"> In the course of such investment-linked evictions and displacements, indigenous women and girls also face discrimination due to their gender and because they identify as indigenous peoples. In addition, women are overrepresented in the informal economy and are less likely to enjoy labor-related and social security protections.</w:t>
      </w:r>
      <w:r w:rsidRPr="006854E2">
        <w:rPr>
          <w:rFonts w:eastAsia="Verdana"/>
          <w:color w:val="000000"/>
          <w:u w:color="000000"/>
          <w:bdr w:val="nil"/>
          <w:vertAlign w:val="superscript"/>
          <w:lang w:val="en-US" w:eastAsia="fr-CH"/>
        </w:rPr>
        <w:footnoteReference w:id="28"/>
      </w:r>
      <w:r w:rsidRPr="006854E2">
        <w:rPr>
          <w:rFonts w:eastAsia="Verdana"/>
          <w:color w:val="000000"/>
          <w:u w:color="000000"/>
          <w:bdr w:val="nil"/>
          <w:lang w:val="en-US" w:eastAsia="fr-CH"/>
        </w:rPr>
        <w:t xml:space="preserve"> Furthermore, despite some improvement, women continue to be underrepresented in corporate decision-making processes worldwide.</w:t>
      </w:r>
      <w:r w:rsidRPr="006854E2">
        <w:rPr>
          <w:rFonts w:eastAsia="Verdana"/>
          <w:color w:val="000000"/>
          <w:u w:color="000000"/>
          <w:bdr w:val="nil"/>
          <w:vertAlign w:val="superscript"/>
          <w:lang w:val="en-US" w:eastAsia="fr-CH"/>
        </w:rPr>
        <w:footnoteReference w:id="29"/>
      </w:r>
      <w:r w:rsidRPr="006854E2">
        <w:rPr>
          <w:rFonts w:eastAsia="Verdana"/>
          <w:color w:val="000000"/>
          <w:u w:color="000000"/>
          <w:bdr w:val="nil"/>
          <w:lang w:val="en-US" w:eastAsia="fr-CH"/>
        </w:rPr>
        <w:t xml:space="preserve"> The Committee therefore recommends that States Parties address the specific impacts of business activities on women and girls, including indigenous women and girls, and incorporate a gender perspective into all measures to regulate business activities that may adversely affect economic, social and cultural rights, including by consulting the </w:t>
      </w:r>
      <w:r w:rsidRPr="006854E2">
        <w:rPr>
          <w:rFonts w:eastAsia="Verdana"/>
          <w:color w:val="000000"/>
          <w:u w:color="000000"/>
          <w:bdr w:val="nil"/>
          <w:lang w:val="en-US" w:eastAsia="fr-CH"/>
        </w:rPr>
        <w:lastRenderedPageBreak/>
        <w:t>Guidance on National Actions Plans on Business and Human Rights.</w:t>
      </w:r>
      <w:r w:rsidRPr="006854E2">
        <w:rPr>
          <w:rFonts w:eastAsia="Verdana"/>
          <w:color w:val="000000"/>
          <w:u w:color="000000"/>
          <w:bdr w:val="nil"/>
          <w:vertAlign w:val="superscript"/>
          <w:lang w:val="en-US" w:eastAsia="fr-CH"/>
        </w:rPr>
        <w:footnoteReference w:id="30"/>
      </w:r>
      <w:r w:rsidRPr="006854E2">
        <w:rPr>
          <w:rFonts w:eastAsia="Verdana"/>
          <w:color w:val="000000"/>
          <w:u w:color="000000"/>
          <w:bdr w:val="nil"/>
          <w:lang w:val="en-US" w:eastAsia="fr-CH"/>
        </w:rPr>
        <w:t xml:space="preserve"> States Parties should also take appropriate steps, including through temporary special measures, to improve women’s representation in the labour market, including at the upper echelons of the corporate hierarchy.</w:t>
      </w:r>
    </w:p>
    <w:p w:rsidR="006854E2" w:rsidRPr="006854E2" w:rsidRDefault="00BA7C63" w:rsidP="00BA7C63">
      <w:pPr>
        <w:pStyle w:val="H1G"/>
        <w:rPr>
          <w:rFonts w:eastAsia="Verdana"/>
          <w:u w:color="000000"/>
          <w:bdr w:val="nil"/>
          <w:lang w:val="en-US" w:eastAsia="fr-CH"/>
        </w:rPr>
      </w:pPr>
      <w:r>
        <w:rPr>
          <w:rFonts w:eastAsia="Helvetica"/>
          <w:u w:color="000000"/>
          <w:bdr w:val="nil"/>
          <w:lang w:val="en-US" w:eastAsia="fr-CH"/>
        </w:rPr>
        <w:tab/>
      </w:r>
      <w:r w:rsidR="006854E2" w:rsidRPr="006854E2">
        <w:rPr>
          <w:rFonts w:eastAsia="Helvetica"/>
          <w:u w:color="000000"/>
          <w:bdr w:val="nil"/>
          <w:lang w:val="en-US" w:eastAsia="fr-CH"/>
        </w:rPr>
        <w:t>B.</w:t>
      </w:r>
      <w:r w:rsidR="006854E2" w:rsidRPr="006854E2">
        <w:rPr>
          <w:rFonts w:eastAsia="Helvetica"/>
          <w:u w:color="000000"/>
          <w:bdr w:val="nil"/>
          <w:lang w:val="en-US" w:eastAsia="fr-CH"/>
        </w:rPr>
        <w:tab/>
        <w:t>Obligations to Respect, to Protect and to Fulfil</w:t>
      </w:r>
    </w:p>
    <w:p w:rsidR="006854E2" w:rsidRPr="006854E2" w:rsidRDefault="006854E2" w:rsidP="00BA7C63">
      <w:pPr>
        <w:numPr>
          <w:ilvl w:val="0"/>
          <w:numId w:val="12"/>
        </w:numPr>
        <w:spacing w:after="120"/>
        <w:ind w:left="1134" w:right="1134" w:firstLine="0"/>
        <w:jc w:val="both"/>
        <w:rPr>
          <w:rFonts w:eastAsia="Verdana"/>
          <w:color w:val="000000"/>
          <w:u w:color="000000"/>
          <w:bdr w:val="nil"/>
          <w:shd w:val="clear" w:color="auto" w:fill="FEFEFE"/>
          <w:lang w:val="en-US" w:eastAsia="fr-CH"/>
        </w:rPr>
      </w:pPr>
      <w:r w:rsidRPr="006854E2">
        <w:rPr>
          <w:rFonts w:eastAsia="Verdana"/>
          <w:color w:val="000000"/>
          <w:u w:color="000000"/>
          <w:bdr w:val="nil"/>
          <w:shd w:val="clear" w:color="auto" w:fill="FEFEFE"/>
          <w:lang w:val="en-US" w:eastAsia="fr-CH"/>
        </w:rPr>
        <w:t>The Covenant establishes specific obligations of States Parties at three levels -- to respect, to protect and to fulfil. These obligations apply both with respect to situations on the State's national territory, and outside the national territory in situations over which States Parties may exercise control. The extraterritorial components of the obligations are addressed separately in sub-section C. This section clarifies the content of States' obligations, focusing on their duties to protect, which are the most relevant in the context of business activities.</w:t>
      </w:r>
    </w:p>
    <w:p w:rsidR="006854E2" w:rsidRPr="006854E2" w:rsidRDefault="006854E2" w:rsidP="00BA7C63">
      <w:pPr>
        <w:numPr>
          <w:ilvl w:val="0"/>
          <w:numId w:val="12"/>
        </w:numPr>
        <w:spacing w:after="120"/>
        <w:ind w:left="1134" w:right="1134" w:firstLine="0"/>
        <w:jc w:val="both"/>
        <w:rPr>
          <w:rFonts w:eastAsia="Verdana"/>
          <w:color w:val="000000"/>
          <w:u w:color="000000"/>
          <w:bdr w:val="nil"/>
          <w:shd w:val="clear" w:color="auto" w:fill="FEFEFE"/>
          <w:lang w:val="en-US" w:eastAsia="fr-CH"/>
        </w:rPr>
      </w:pPr>
      <w:r w:rsidRPr="006854E2">
        <w:rPr>
          <w:rFonts w:eastAsia="Verdana"/>
          <w:color w:val="000000"/>
          <w:u w:color="000000"/>
          <w:bdr w:val="nil"/>
          <w:shd w:val="clear" w:color="auto" w:fill="FEFEFE"/>
          <w:lang w:val="en-US" w:eastAsia="fr-CH"/>
        </w:rPr>
        <w:t xml:space="preserve">This General Comment addresses the States parties to the Covenant, and in this context it only deals with the conduct of private actors, including business entities, indirectly. </w:t>
      </w:r>
      <w:r w:rsidRPr="006854E2">
        <w:rPr>
          <w:rFonts w:eastAsia="Verdana"/>
          <w:iCs/>
          <w:color w:val="000000"/>
          <w:u w:color="000000"/>
          <w:bdr w:val="nil"/>
          <w:lang w:val="en-US" w:eastAsia="fr-CH"/>
        </w:rPr>
        <w:t>In accordance with international law however,</w:t>
      </w:r>
      <w:r w:rsidRPr="006854E2">
        <w:rPr>
          <w:rFonts w:eastAsia="Malgun Gothic" w:hint="eastAsia"/>
          <w:iCs/>
          <w:color w:val="000000"/>
          <w:u w:color="000000"/>
          <w:bdr w:val="nil"/>
          <w:lang w:val="en-US" w:eastAsia="ko-KR"/>
        </w:rPr>
        <w:t xml:space="preserve"> </w:t>
      </w:r>
      <w:r w:rsidRPr="006854E2">
        <w:rPr>
          <w:rFonts w:eastAsia="Verdana"/>
          <w:iCs/>
          <w:color w:val="000000"/>
          <w:u w:color="000000"/>
          <w:bdr w:val="nil"/>
          <w:lang w:val="en-US" w:eastAsia="fr-CH"/>
        </w:rPr>
        <w:t>States Parties may be held directly responsible for the</w:t>
      </w:r>
      <w:r w:rsidRPr="006854E2">
        <w:rPr>
          <w:rFonts w:eastAsia="Verdana"/>
          <w:color w:val="000000"/>
          <w:u w:color="000000"/>
          <w:bdr w:val="nil"/>
          <w:lang w:val="en-US" w:eastAsia="fr-CH"/>
        </w:rPr>
        <w:t xml:space="preserve"> action or inaction of business entities: (i) if the entity concerned is in fact acting on that State Party’s instructions or is under its control or direction in carrying out the particular conduct at issue,</w:t>
      </w:r>
      <w:r w:rsidRPr="006854E2">
        <w:rPr>
          <w:rFonts w:eastAsia="Verdana"/>
          <w:color w:val="000000"/>
          <w:u w:color="000000"/>
          <w:bdr w:val="nil"/>
          <w:vertAlign w:val="superscript"/>
          <w:lang w:val="en-US" w:eastAsia="fr-CH"/>
        </w:rPr>
        <w:footnoteReference w:id="31"/>
      </w:r>
      <w:r w:rsidRPr="006854E2">
        <w:rPr>
          <w:rFonts w:eastAsia="Verdana"/>
          <w:color w:val="000000"/>
          <w:u w:color="000000"/>
          <w:bdr w:val="nil"/>
          <w:lang w:val="en-US" w:eastAsia="fr-CH"/>
        </w:rPr>
        <w:t xml:space="preserve"> as may be the case in the context of public contracts</w:t>
      </w:r>
      <w:r w:rsidRPr="006854E2">
        <w:rPr>
          <w:rFonts w:eastAsia="Verdana"/>
          <w:color w:val="000000"/>
          <w:sz w:val="18"/>
          <w:u w:color="000000"/>
          <w:bdr w:val="nil"/>
          <w:vertAlign w:val="superscript"/>
          <w:lang w:val="en-US" w:eastAsia="fr-CH"/>
        </w:rPr>
        <w:footnoteReference w:id="32"/>
      </w:r>
      <w:r w:rsidRPr="006854E2">
        <w:rPr>
          <w:rFonts w:eastAsia="Verdana"/>
          <w:color w:val="000000"/>
          <w:u w:color="000000"/>
          <w:bdr w:val="nil"/>
          <w:lang w:val="en-US" w:eastAsia="fr-CH"/>
        </w:rPr>
        <w:t>; (ii) when a business entity is empowered under the State Party's legislation to exercise elements of governmental authority</w:t>
      </w:r>
      <w:r w:rsidRPr="006854E2">
        <w:rPr>
          <w:rFonts w:eastAsia="Verdana"/>
          <w:color w:val="000000"/>
          <w:u w:color="000000"/>
          <w:bdr w:val="nil"/>
          <w:vertAlign w:val="superscript"/>
          <w:lang w:val="en-US" w:eastAsia="fr-CH"/>
        </w:rPr>
        <w:footnoteReference w:id="33"/>
      </w:r>
      <w:r w:rsidRPr="006854E2">
        <w:rPr>
          <w:rFonts w:eastAsia="Verdana"/>
          <w:color w:val="000000"/>
          <w:u w:color="000000"/>
          <w:bdr w:val="nil"/>
          <w:lang w:val="en-US" w:eastAsia="fr-CH"/>
        </w:rPr>
        <w:t xml:space="preserve"> or if the circumstances call for such exercise of government functions in the absence or default of the official authorities</w:t>
      </w:r>
      <w:r w:rsidRPr="006854E2">
        <w:rPr>
          <w:rFonts w:eastAsia="Verdana"/>
          <w:color w:val="000000"/>
          <w:u w:color="000000"/>
          <w:bdr w:val="nil"/>
          <w:vertAlign w:val="superscript"/>
          <w:lang w:val="en-US" w:eastAsia="fr-CH"/>
        </w:rPr>
        <w:footnoteReference w:id="34"/>
      </w:r>
      <w:r w:rsidRPr="006854E2">
        <w:rPr>
          <w:rFonts w:eastAsia="Verdana"/>
          <w:color w:val="000000"/>
          <w:u w:color="000000"/>
          <w:bdr w:val="nil"/>
          <w:lang w:val="en-US" w:eastAsia="fr-CH"/>
        </w:rPr>
        <w:t>; or (iii) if and to the extent that State Party acknowledges and adopts the conduct as its own.</w:t>
      </w:r>
      <w:r w:rsidRPr="006854E2">
        <w:rPr>
          <w:rFonts w:eastAsia="Verdana"/>
          <w:color w:val="000000"/>
          <w:u w:color="000000"/>
          <w:bdr w:val="nil"/>
          <w:vertAlign w:val="superscript"/>
          <w:lang w:val="fr-FR" w:eastAsia="fr-CH"/>
        </w:rPr>
        <w:footnoteReference w:id="35"/>
      </w:r>
    </w:p>
    <w:p w:rsidR="006854E2" w:rsidRPr="006854E2" w:rsidRDefault="00BA7C63" w:rsidP="00BA7C63">
      <w:pPr>
        <w:pStyle w:val="H23G"/>
        <w:rPr>
          <w:rFonts w:eastAsia="Verdana"/>
          <w:u w:color="000000"/>
          <w:bdr w:val="nil"/>
          <w:lang w:val="fr-FR" w:eastAsia="fr-CH"/>
        </w:rPr>
      </w:pPr>
      <w:r>
        <w:rPr>
          <w:rFonts w:eastAsia="Verdana"/>
          <w:u w:color="000000"/>
          <w:bdr w:val="nil"/>
          <w:lang w:val="fr-FR" w:eastAsia="fr-CH"/>
        </w:rPr>
        <w:tab/>
      </w:r>
      <w:r>
        <w:rPr>
          <w:rFonts w:eastAsia="Verdana"/>
          <w:u w:color="000000"/>
          <w:bdr w:val="nil"/>
          <w:lang w:val="fr-FR" w:eastAsia="fr-CH"/>
        </w:rPr>
        <w:tab/>
      </w:r>
      <w:r w:rsidR="006854E2" w:rsidRPr="006854E2">
        <w:rPr>
          <w:rFonts w:eastAsia="Verdana"/>
          <w:u w:color="000000"/>
          <w:bdr w:val="nil"/>
          <w:lang w:val="fr-FR" w:eastAsia="fr-CH"/>
        </w:rPr>
        <w:t>Obligation to respect</w:t>
      </w:r>
    </w:p>
    <w:p w:rsidR="006854E2" w:rsidRPr="006854E2" w:rsidRDefault="006854E2" w:rsidP="00BA7C63">
      <w:pPr>
        <w:numPr>
          <w:ilvl w:val="0"/>
          <w:numId w:val="12"/>
        </w:numPr>
        <w:spacing w:after="120"/>
        <w:ind w:left="1134" w:right="1134" w:firstLine="0"/>
        <w:jc w:val="both"/>
        <w:rPr>
          <w:rFonts w:eastAsia="Verdana"/>
          <w:color w:val="000000"/>
          <w:u w:color="000000"/>
          <w:bdr w:val="nil"/>
          <w:lang w:val="en-US" w:eastAsia="fr-CH"/>
        </w:rPr>
      </w:pPr>
      <w:r w:rsidRPr="006854E2">
        <w:rPr>
          <w:rFonts w:eastAsia="Verdana"/>
          <w:color w:val="000000"/>
          <w:u w:color="000000"/>
          <w:bdr w:val="nil"/>
          <w:lang w:val="en-US" w:eastAsia="fr-CH"/>
        </w:rPr>
        <w:t xml:space="preserve">The obligation to respect economic, social and cultural rights is violated when States Parties prioritize the interests of business entities over Covenant rights without adequate justification, or when they pursue policies that negatively affect such rights. This may occur for instance when </w:t>
      </w:r>
      <w:r w:rsidRPr="006854E2">
        <w:rPr>
          <w:rFonts w:eastAsia="Helvetica"/>
          <w:color w:val="000000"/>
          <w:u w:color="000000"/>
          <w:bdr w:val="nil"/>
          <w:lang w:val="en-US" w:eastAsia="fr-CH"/>
        </w:rPr>
        <w:t>forced evictions are ordered in the context of investment projects.</w:t>
      </w:r>
      <w:r w:rsidRPr="006854E2">
        <w:rPr>
          <w:rFonts w:eastAsia="Helvetica"/>
          <w:color w:val="000000"/>
          <w:u w:color="000000"/>
          <w:bdr w:val="nil"/>
          <w:vertAlign w:val="superscript"/>
          <w:lang w:val="en-US" w:eastAsia="fr-CH"/>
        </w:rPr>
        <w:footnoteReference w:id="36"/>
      </w:r>
      <w:r w:rsidRPr="006854E2">
        <w:rPr>
          <w:rFonts w:eastAsia="Helvetica"/>
          <w:color w:val="000000"/>
          <w:u w:color="000000"/>
          <w:bdr w:val="nil"/>
          <w:lang w:val="en-US" w:eastAsia="fr-CH"/>
        </w:rPr>
        <w:t xml:space="preserve"> I</w:t>
      </w:r>
      <w:r w:rsidRPr="006854E2">
        <w:rPr>
          <w:rFonts w:eastAsia="Malgun Gothic"/>
        </w:rPr>
        <w:t>ndigenous peoples’ cultural values and rights associated with their ancestral lands are particularly at risk.</w:t>
      </w:r>
      <w:r w:rsidRPr="006854E2">
        <w:rPr>
          <w:rFonts w:eastAsia="Malgun Gothic"/>
          <w:sz w:val="18"/>
          <w:vertAlign w:val="superscript"/>
        </w:rPr>
        <w:footnoteReference w:id="37"/>
      </w:r>
      <w:r w:rsidRPr="006854E2">
        <w:rPr>
          <w:rFonts w:eastAsia="Malgun Gothic"/>
        </w:rPr>
        <w:t xml:space="preserve"> States parties and businesses should respect the principle of free, prior and informed consent of indigenous peoples in relation to all matters that could affect their rights, including their lands, territories and resources </w:t>
      </w:r>
      <w:r w:rsidRPr="006854E2">
        <w:rPr>
          <w:rFonts w:ascii="GalliardStd-Roman" w:eastAsia="Malgun Gothic" w:hAnsi="GalliardStd-Roman" w:cs="GalliardStd-Roman"/>
          <w:lang w:eastAsia="ko-KR"/>
        </w:rPr>
        <w:t>which they have traditionally owned, occupied or otherwise used or acquired.</w:t>
      </w:r>
      <w:r w:rsidRPr="006854E2">
        <w:rPr>
          <w:rFonts w:eastAsia="Malgun Gothic"/>
          <w:sz w:val="18"/>
          <w:vertAlign w:val="superscript"/>
        </w:rPr>
        <w:footnoteReference w:id="38"/>
      </w:r>
    </w:p>
    <w:p w:rsidR="006854E2" w:rsidRPr="006854E2" w:rsidRDefault="006854E2" w:rsidP="00BA7C63">
      <w:pPr>
        <w:numPr>
          <w:ilvl w:val="0"/>
          <w:numId w:val="12"/>
        </w:numPr>
        <w:spacing w:after="120"/>
        <w:ind w:left="1134" w:right="1134" w:firstLine="0"/>
        <w:jc w:val="both"/>
        <w:rPr>
          <w:rFonts w:eastAsia="Verdana"/>
          <w:color w:val="000000"/>
          <w:u w:color="000000"/>
          <w:bdr w:val="nil"/>
          <w:lang w:val="en-US" w:eastAsia="fr-CH"/>
        </w:rPr>
      </w:pPr>
      <w:r w:rsidRPr="006854E2">
        <w:rPr>
          <w:rFonts w:eastAsia="Verdana"/>
          <w:color w:val="000000"/>
          <w:u w:color="000000"/>
          <w:bdr w:val="nil"/>
          <w:lang w:val="en-US" w:eastAsia="fr-CH"/>
        </w:rPr>
        <w:t xml:space="preserve">States Parties should </w:t>
      </w:r>
      <w:r w:rsidRPr="006854E2">
        <w:rPr>
          <w:rFonts w:eastAsia="Helvetica"/>
          <w:color w:val="000000"/>
          <w:u w:color="000000"/>
          <w:bdr w:val="nil"/>
          <w:lang w:eastAsia="fr-CH"/>
        </w:rPr>
        <w:t>identify any potential conflict between their obligations under the Covenant and trade or investment treaties, and refrain from entering into such treaties where such conflicts are found to exist,</w:t>
      </w:r>
      <w:r w:rsidRPr="006854E2">
        <w:rPr>
          <w:rFonts w:eastAsia="Verdana"/>
          <w:color w:val="000000"/>
          <w:u w:color="000000"/>
          <w:bdr w:val="nil"/>
          <w:shd w:val="clear" w:color="auto" w:fill="FEFEFE"/>
          <w:vertAlign w:val="superscript"/>
          <w:lang w:val="en-US" w:eastAsia="fr-CH"/>
        </w:rPr>
        <w:footnoteReference w:id="39"/>
      </w:r>
      <w:r w:rsidRPr="006854E2">
        <w:rPr>
          <w:rFonts w:eastAsia="Helvetica"/>
          <w:color w:val="000000"/>
          <w:u w:color="000000"/>
          <w:bdr w:val="nil"/>
          <w:lang w:eastAsia="fr-CH"/>
        </w:rPr>
        <w:t xml:space="preserve"> as required under the principle of the binding character of treaties.</w:t>
      </w:r>
      <w:r w:rsidRPr="006854E2">
        <w:rPr>
          <w:rFonts w:eastAsia="Helvetica"/>
          <w:color w:val="000000"/>
          <w:u w:color="000000"/>
          <w:bdr w:val="nil"/>
          <w:vertAlign w:val="superscript"/>
          <w:lang w:val="fr-FR" w:eastAsia="fr-CH"/>
        </w:rPr>
        <w:footnoteReference w:id="40"/>
      </w:r>
      <w:r w:rsidRPr="006854E2">
        <w:rPr>
          <w:rFonts w:eastAsia="Helvetica"/>
          <w:color w:val="000000"/>
          <w:u w:color="000000"/>
          <w:bdr w:val="nil"/>
          <w:lang w:eastAsia="fr-CH"/>
        </w:rPr>
        <w:t xml:space="preserve"> The conclusion of such treaties should therefore be preceded by human rights impact assessments, taking into account both the positive and negative human rights impacts of trade and investment treaties, including their contribution to the realization of the right to development. Such impacts on human rights of the implementation of the agreements should be regularly assessed, to allow for the adoption of any corrective measures that may be required. The interpretation of trade and investment treaties currently in force should take into account the human rights obligations of the State, consistent with Article 103 of the Charter of the United Nations and with the specific nature of human rights obligations.</w:t>
      </w:r>
      <w:r w:rsidRPr="006854E2">
        <w:rPr>
          <w:rFonts w:eastAsia="Helvetica"/>
          <w:color w:val="000000"/>
          <w:sz w:val="18"/>
          <w:u w:color="000000"/>
          <w:bdr w:val="nil"/>
          <w:vertAlign w:val="superscript"/>
          <w:lang w:eastAsia="fr-CH"/>
        </w:rPr>
        <w:t xml:space="preserve"> </w:t>
      </w:r>
      <w:r w:rsidRPr="006854E2">
        <w:rPr>
          <w:rFonts w:eastAsia="Helvetica"/>
          <w:color w:val="000000"/>
          <w:sz w:val="18"/>
          <w:u w:color="000000"/>
          <w:bdr w:val="nil"/>
          <w:vertAlign w:val="superscript"/>
          <w:lang w:val="fr-FR" w:eastAsia="fr-CH"/>
        </w:rPr>
        <w:footnoteReference w:id="41"/>
      </w:r>
      <w:r w:rsidRPr="006854E2">
        <w:rPr>
          <w:rFonts w:eastAsia="Helvetica"/>
          <w:color w:val="000000"/>
          <w:u w:color="000000"/>
          <w:bdr w:val="nil"/>
          <w:lang w:eastAsia="fr-CH"/>
        </w:rPr>
        <w:t xml:space="preserve"> States Parties cannot derogate from the obligations under the Covenant in trade and investment treaties they may conclude. They are encouraged to insert a provision explicitly referring to their human rights obligations in future treaties, and to ensure that mechanisms for the settlement of investor-State disputes take human rights into account in the interpretation of investment treaties or of investment chapters in trade agreements.</w:t>
      </w:r>
    </w:p>
    <w:p w:rsidR="006854E2" w:rsidRPr="006854E2" w:rsidRDefault="00BA7C63" w:rsidP="00BA7C63">
      <w:pPr>
        <w:pStyle w:val="H23G"/>
        <w:rPr>
          <w:rFonts w:eastAsia="Verdana"/>
          <w:u w:color="000000"/>
          <w:bdr w:val="nil"/>
          <w:lang w:val="en-US" w:eastAsia="fr-CH"/>
        </w:rPr>
      </w:pPr>
      <w:r>
        <w:rPr>
          <w:rFonts w:eastAsia="Verdana"/>
          <w:u w:color="000000"/>
          <w:bdr w:val="nil"/>
          <w:lang w:val="en-US" w:eastAsia="fr-CH"/>
        </w:rPr>
        <w:tab/>
      </w:r>
      <w:r>
        <w:rPr>
          <w:rFonts w:eastAsia="Verdana"/>
          <w:u w:color="000000"/>
          <w:bdr w:val="nil"/>
          <w:lang w:val="en-US" w:eastAsia="fr-CH"/>
        </w:rPr>
        <w:tab/>
      </w:r>
      <w:r w:rsidR="006854E2" w:rsidRPr="006854E2">
        <w:rPr>
          <w:rFonts w:eastAsia="Verdana"/>
          <w:u w:color="000000"/>
          <w:bdr w:val="nil"/>
          <w:lang w:val="en-US" w:eastAsia="fr-CH"/>
        </w:rPr>
        <w:t>Obligation to protect</w:t>
      </w:r>
    </w:p>
    <w:p w:rsidR="006854E2" w:rsidRPr="006854E2" w:rsidRDefault="006854E2" w:rsidP="00BA7C63">
      <w:pPr>
        <w:numPr>
          <w:ilvl w:val="0"/>
          <w:numId w:val="12"/>
        </w:numPr>
        <w:spacing w:after="120"/>
        <w:ind w:left="1134" w:right="1134" w:firstLine="0"/>
        <w:jc w:val="both"/>
        <w:rPr>
          <w:rFonts w:eastAsia="Verdana"/>
          <w:color w:val="000000"/>
          <w:u w:color="000000"/>
          <w:bdr w:val="nil"/>
          <w:lang w:val="en-US" w:eastAsia="fr-CH"/>
        </w:rPr>
      </w:pPr>
      <w:r w:rsidRPr="006854E2">
        <w:rPr>
          <w:rFonts w:eastAsia="Verdana"/>
          <w:color w:val="000000"/>
          <w:u w:color="000000"/>
          <w:bdr w:val="nil"/>
          <w:lang w:val="en-US" w:eastAsia="fr-CH"/>
        </w:rPr>
        <w:t xml:space="preserve">The obligation to protect </w:t>
      </w:r>
      <w:r w:rsidRPr="006854E2">
        <w:rPr>
          <w:rFonts w:eastAsia="Verdana"/>
          <w:iCs/>
          <w:color w:val="000000"/>
          <w:u w:color="000000"/>
          <w:bdr w:val="nil"/>
          <w:lang w:val="en-US" w:eastAsia="fr-CH"/>
        </w:rPr>
        <w:t>means that States Parties must effectively prevent the infringements of economic, social and cultural rights in the context of business activities. This</w:t>
      </w:r>
      <w:r w:rsidRPr="006854E2">
        <w:rPr>
          <w:rFonts w:eastAsia="Verdana"/>
          <w:color w:val="000000"/>
          <w:u w:color="000000"/>
          <w:bdr w:val="nil"/>
          <w:lang w:val="en-US" w:eastAsia="fr-CH"/>
        </w:rPr>
        <w:t xml:space="preserve"> requires that States Parties adopt legislative, administrative, educational, as well as other appropriate measures, to ensure effective protection against Covenant rights violations linked to business activities; and that they</w:t>
      </w:r>
      <w:r w:rsidRPr="006854E2">
        <w:rPr>
          <w:rFonts w:eastAsia="Verdana"/>
          <w:iCs/>
          <w:color w:val="000000"/>
          <w:u w:color="000000"/>
          <w:bdr w:val="nil"/>
          <w:lang w:val="en-US" w:eastAsia="fr-CH"/>
        </w:rPr>
        <w:t xml:space="preserve"> provide victims of such corporate abuses with access to effective remedies. </w:t>
      </w:r>
    </w:p>
    <w:p w:rsidR="006854E2" w:rsidRPr="006854E2" w:rsidRDefault="006854E2" w:rsidP="00BA7C63">
      <w:pPr>
        <w:numPr>
          <w:ilvl w:val="0"/>
          <w:numId w:val="12"/>
        </w:numPr>
        <w:spacing w:after="120"/>
        <w:ind w:left="1134" w:right="1134" w:firstLine="0"/>
        <w:jc w:val="both"/>
        <w:rPr>
          <w:rFonts w:eastAsia="Verdana"/>
          <w:color w:val="000000"/>
          <w:u w:color="000000"/>
          <w:bdr w:val="nil"/>
          <w:lang w:val="en-US" w:eastAsia="fr-CH"/>
        </w:rPr>
      </w:pPr>
      <w:r w:rsidRPr="006854E2">
        <w:rPr>
          <w:rFonts w:eastAsia="Verdana"/>
          <w:color w:val="000000"/>
          <w:u w:color="000000"/>
          <w:bdr w:val="nil"/>
          <w:shd w:val="clear" w:color="auto" w:fill="FEFEFE"/>
          <w:lang w:val="en-US" w:eastAsia="fr-CH"/>
        </w:rPr>
        <w:t>States Parties should consider imposing criminal or administrative sanctions and penalties as appropriate where business activities result in abuses of Covenant rights or where a failure to act with due diligence to mitigate risks allows such infringements to occur; enable civil suits and other effective means of claiming reparations by victims of rights violations against corporate perpetrators, in particular by lowering the costs to victims and by allowing forms of collective redress; revoke business licenses and subsidies, if and to the extent necessary, from offenders; and revise relevant tax codes, public procurement contracts,</w:t>
      </w:r>
      <w:r w:rsidRPr="006854E2">
        <w:rPr>
          <w:rFonts w:eastAsia="Verdana"/>
          <w:color w:val="000000"/>
          <w:sz w:val="18"/>
          <w:u w:color="000000"/>
          <w:bdr w:val="nil"/>
          <w:shd w:val="clear" w:color="auto" w:fill="FEFEFE"/>
          <w:vertAlign w:val="superscript"/>
          <w:lang w:val="en-US" w:eastAsia="fr-CH"/>
        </w:rPr>
        <w:footnoteReference w:id="42"/>
      </w:r>
      <w:r w:rsidRPr="006854E2">
        <w:rPr>
          <w:rFonts w:eastAsia="Verdana"/>
          <w:color w:val="000000"/>
          <w:u w:color="000000"/>
          <w:bdr w:val="nil"/>
          <w:shd w:val="clear" w:color="auto" w:fill="FEFEFE"/>
          <w:lang w:val="en-US" w:eastAsia="fr-CH"/>
        </w:rPr>
        <w:t xml:space="preserve"> export credit  and other forms of State support, privileges and advantages in case of human rights violations, thus aligning business incentives with human rights responsibilities. </w:t>
      </w:r>
      <w:r w:rsidRPr="006854E2">
        <w:rPr>
          <w:rFonts w:eastAsia="Verdana"/>
          <w:color w:val="000000"/>
          <w:u w:color="000000"/>
          <w:bdr w:val="nil"/>
          <w:lang w:val="en-US" w:eastAsia="fr-CH"/>
        </w:rPr>
        <w:t xml:space="preserve">States Parties should regularly </w:t>
      </w:r>
      <w:r w:rsidRPr="006854E2">
        <w:rPr>
          <w:rFonts w:eastAsia="Verdana"/>
          <w:color w:val="000000"/>
          <w:u w:color="000000"/>
          <w:bdr w:val="nil"/>
          <w:shd w:val="clear" w:color="auto" w:fill="FEFEFE"/>
          <w:lang w:val="en-US" w:eastAsia="fr-CH"/>
        </w:rPr>
        <w:t>review the adequacy of laws and identify and address compliance and information gaps, as well as emerging problems.</w:t>
      </w:r>
      <w:r w:rsidRPr="006854E2">
        <w:rPr>
          <w:rFonts w:eastAsia="Verdana"/>
          <w:color w:val="000000"/>
          <w:u w:color="000000"/>
          <w:bdr w:val="nil"/>
          <w:shd w:val="clear" w:color="auto" w:fill="FEFEFE"/>
          <w:vertAlign w:val="superscript"/>
          <w:lang w:val="fr-FR" w:eastAsia="fr-CH"/>
        </w:rPr>
        <w:footnoteReference w:id="43"/>
      </w:r>
    </w:p>
    <w:p w:rsidR="006854E2" w:rsidRPr="006854E2" w:rsidRDefault="006854E2" w:rsidP="00BA7C63">
      <w:pPr>
        <w:numPr>
          <w:ilvl w:val="0"/>
          <w:numId w:val="12"/>
        </w:numPr>
        <w:spacing w:after="120"/>
        <w:ind w:left="1134" w:right="1134" w:firstLine="0"/>
        <w:jc w:val="both"/>
        <w:rPr>
          <w:rFonts w:eastAsia="Verdana"/>
          <w:color w:val="000000"/>
          <w:u w:color="000000"/>
          <w:bdr w:val="nil"/>
          <w:lang w:val="en-US" w:eastAsia="fr-CH"/>
        </w:rPr>
      </w:pPr>
      <w:r w:rsidRPr="006854E2">
        <w:rPr>
          <w:rFonts w:eastAsia="Malgun Gothic"/>
          <w:lang w:eastAsia="fr-FR"/>
        </w:rPr>
        <w:t>The</w:t>
      </w:r>
      <w:r w:rsidRPr="006854E2">
        <w:rPr>
          <w:rFonts w:eastAsia="Verdana"/>
          <w:color w:val="000000"/>
          <w:u w:color="000000"/>
          <w:bdr w:val="nil"/>
          <w:lang w:val="en-US" w:eastAsia="fr-CH"/>
        </w:rPr>
        <w:t xml:space="preserve"> obligation to protect </w:t>
      </w:r>
      <w:r w:rsidRPr="006854E2">
        <w:rPr>
          <w:rFonts w:eastAsia="Verdana"/>
          <w:iCs/>
          <w:color w:val="000000"/>
          <w:u w:color="000000"/>
          <w:bdr w:val="nil"/>
          <w:lang w:val="en-US" w:eastAsia="fr-CH"/>
        </w:rPr>
        <w:t xml:space="preserve">entails a positive duty to </w:t>
      </w:r>
      <w:r w:rsidRPr="006854E2">
        <w:rPr>
          <w:rFonts w:eastAsia="Verdana"/>
          <w:color w:val="000000"/>
          <w:u w:color="000000"/>
          <w:bdr w:val="nil"/>
          <w:shd w:val="clear" w:color="auto" w:fill="FEFEFE"/>
          <w:lang w:val="en-US" w:eastAsia="fr-CH"/>
        </w:rPr>
        <w:t>adopt a legal framework requiring</w:t>
      </w:r>
      <w:r w:rsidRPr="006854E2">
        <w:rPr>
          <w:rFonts w:eastAsia="Verdana"/>
          <w:color w:val="000000"/>
          <w:u w:color="000000"/>
          <w:bdr w:val="nil"/>
          <w:lang w:val="en-US" w:eastAsia="fr-CH"/>
        </w:rPr>
        <w:t xml:space="preserve"> business entities to exercise human rights due diligence in order to identify, prevent and mitigate the risks of violations of Covenant rights, to avoid such rights being abused, as well as to account for the negative impacts caused or contributed to by their decisions and operations and those of entities they control on the enjoyment of Covenant rights</w:t>
      </w:r>
      <w:r w:rsidRPr="006854E2">
        <w:rPr>
          <w:rFonts w:eastAsia="Verdana"/>
          <w:color w:val="000000"/>
          <w:u w:color="000000"/>
          <w:bdr w:val="nil"/>
          <w:shd w:val="clear" w:color="auto" w:fill="FEFEFE"/>
          <w:lang w:val="en-US" w:eastAsia="fr-CH"/>
        </w:rPr>
        <w:t>.</w:t>
      </w:r>
      <w:r w:rsidRPr="006854E2">
        <w:rPr>
          <w:rFonts w:eastAsia="Malgun Gothic"/>
          <w:sz w:val="18"/>
          <w:vertAlign w:val="superscript"/>
        </w:rPr>
        <w:footnoteReference w:id="44"/>
      </w:r>
      <w:r w:rsidRPr="006854E2">
        <w:rPr>
          <w:rFonts w:eastAsia="Verdana"/>
          <w:color w:val="000000"/>
          <w:u w:color="000000"/>
          <w:bdr w:val="nil"/>
          <w:shd w:val="clear" w:color="auto" w:fill="FEFEFE"/>
          <w:lang w:val="en-US" w:eastAsia="fr-CH"/>
        </w:rPr>
        <w:t xml:space="preserve"> States should adopt measures such as imposing due diligence requirements to prevent abuses of Covenant rights in a business entity’s supply chain and by subcontractors, suppliers, franchisees, or other business partners. </w:t>
      </w:r>
    </w:p>
    <w:p w:rsidR="006854E2" w:rsidRPr="006854E2" w:rsidRDefault="006854E2" w:rsidP="00BA7C63">
      <w:pPr>
        <w:numPr>
          <w:ilvl w:val="0"/>
          <w:numId w:val="12"/>
        </w:numPr>
        <w:spacing w:after="120"/>
        <w:ind w:left="1134" w:right="1134" w:firstLine="0"/>
        <w:jc w:val="both"/>
        <w:rPr>
          <w:rFonts w:eastAsia="Verdana"/>
          <w:color w:val="000000"/>
          <w:u w:color="000000"/>
          <w:bdr w:val="nil"/>
          <w:lang w:val="en-US" w:eastAsia="fr-CH"/>
        </w:rPr>
      </w:pPr>
      <w:r w:rsidRPr="006854E2">
        <w:rPr>
          <w:rFonts w:eastAsia="Malgun Gothic"/>
        </w:rPr>
        <w:t xml:space="preserve">States Parties should ensure that, where appropriate, the impacts of business activities on indigenous peoples specifically (in particular actual or potential adverse impacts on indigenous peoples’ rights to land, resources, territories, </w:t>
      </w:r>
      <w:r w:rsidRPr="006854E2">
        <w:rPr>
          <w:rFonts w:ascii="GalliardStd-Roman" w:eastAsia="Malgun Gothic" w:hAnsi="GalliardStd-Roman" w:cs="GalliardStd-Roman"/>
          <w:lang w:eastAsia="ko-KR"/>
        </w:rPr>
        <w:t>cultural heritage, traditional knowledge</w:t>
      </w:r>
      <w:r w:rsidRPr="006854E2">
        <w:rPr>
          <w:rFonts w:eastAsia="Malgun Gothic"/>
        </w:rPr>
        <w:t xml:space="preserve"> and cultures) are incorporated into human rights impact assessments.</w:t>
      </w:r>
      <w:r w:rsidRPr="006854E2">
        <w:rPr>
          <w:rFonts w:eastAsia="Malgun Gothic"/>
          <w:vertAlign w:val="superscript"/>
        </w:rPr>
        <w:footnoteReference w:id="45"/>
      </w:r>
      <w:r w:rsidRPr="006854E2">
        <w:rPr>
          <w:rFonts w:eastAsia="Malgun Gothic"/>
        </w:rPr>
        <w:t xml:space="preserve"> In exercising human rights due diligence, businesses should consult and cooperate in good faith with the indigenous peoples concerned through their own representative institutions in order to obtain their free, prior and informed consent before the commencement of activities.</w:t>
      </w:r>
      <w:r w:rsidRPr="006854E2">
        <w:rPr>
          <w:rFonts w:eastAsia="Malgun Gothic"/>
          <w:vertAlign w:val="superscript"/>
        </w:rPr>
        <w:footnoteReference w:id="46"/>
      </w:r>
      <w:r w:rsidRPr="006854E2">
        <w:rPr>
          <w:rFonts w:eastAsia="Malgun Gothic"/>
        </w:rPr>
        <w:t xml:space="preserve"> </w:t>
      </w:r>
      <w:r w:rsidRPr="006854E2">
        <w:rPr>
          <w:rFonts w:ascii="Times" w:eastAsia="Malgun Gothic" w:hAnsi="Times"/>
          <w:lang w:eastAsia="fr-FR"/>
        </w:rPr>
        <w:t>Such consultations should allow for the identification of the potentially negative impact of the activities and of the measures to mitigate and compensate for such impact. They should also lead to design mechanisms for sharing the benefits derived from the activities, since companies are bound by their duty to respect indigenous rights to establish mechanisms that ensure that indigenous peoples share in the benefits generated by the activities developed on their traditional territories.</w:t>
      </w:r>
      <w:r w:rsidRPr="006854E2">
        <w:rPr>
          <w:rFonts w:eastAsia="Malgun Gothic"/>
          <w:vertAlign w:val="superscript"/>
          <w:lang w:val="fr-BE" w:eastAsia="fr-FR"/>
        </w:rPr>
        <w:footnoteReference w:id="47"/>
      </w:r>
    </w:p>
    <w:p w:rsidR="006854E2" w:rsidRPr="006854E2" w:rsidRDefault="006854E2" w:rsidP="00BA7C63">
      <w:pPr>
        <w:numPr>
          <w:ilvl w:val="0"/>
          <w:numId w:val="12"/>
        </w:numPr>
        <w:spacing w:after="120"/>
        <w:ind w:left="1134" w:right="1134" w:firstLine="0"/>
        <w:jc w:val="both"/>
        <w:rPr>
          <w:rFonts w:eastAsia="Verdana"/>
          <w:color w:val="000000"/>
          <w:u w:color="000000"/>
          <w:bdr w:val="nil"/>
          <w:lang w:val="en-US" w:eastAsia="fr-CH"/>
        </w:rPr>
      </w:pPr>
      <w:r w:rsidRPr="006854E2">
        <w:rPr>
          <w:rFonts w:eastAsia="Verdana"/>
          <w:color w:val="000000"/>
          <w:u w:color="000000"/>
          <w:bdr w:val="nil"/>
          <w:lang w:val="en-US" w:eastAsia="fr-CH"/>
        </w:rPr>
        <w:t xml:space="preserve">States would violate their duty to protect Covenant rights, for instance, by failing to prevent or to counter conduct by </w:t>
      </w:r>
      <w:r w:rsidRPr="006854E2">
        <w:rPr>
          <w:rFonts w:eastAsia="Helvetica"/>
          <w:color w:val="000000"/>
          <w:u w:color="000000"/>
          <w:bdr w:val="nil"/>
          <w:lang w:val="en-US" w:eastAsia="fr-CH"/>
        </w:rPr>
        <w:t>businesses that leads to such rights being abused, or that has the foreseeable effect of leading to such rights being abused for instance, by lowering the criteria for approving new medicines</w:t>
      </w:r>
      <w:r w:rsidRPr="006854E2">
        <w:rPr>
          <w:rFonts w:eastAsia="Helvetica"/>
          <w:color w:val="000000"/>
          <w:sz w:val="18"/>
          <w:u w:color="000000"/>
          <w:bdr w:val="nil"/>
          <w:vertAlign w:val="superscript"/>
          <w:lang w:val="en-US" w:eastAsia="fr-CH"/>
        </w:rPr>
        <w:footnoteReference w:id="48"/>
      </w:r>
      <w:r w:rsidRPr="006854E2">
        <w:rPr>
          <w:rFonts w:eastAsia="Helvetica"/>
          <w:color w:val="000000"/>
          <w:u w:color="000000"/>
          <w:bdr w:val="nil"/>
          <w:lang w:val="en-US" w:eastAsia="fr-CH"/>
        </w:rPr>
        <w:t xml:space="preserve">; by failing to incorporate a requirement linked to reasonable accommodation of persons with disabilities in public contracts, by granting exploration and exploitation permits for natural resources without giving due consideration to the potential adverse impacts of such activities on the individual and communities' enjoyment of Covenant rights; by exempting certain projects or certain geographical areas from the application of laws that protect Covenant rights; or by failing to </w:t>
      </w:r>
      <w:r w:rsidRPr="006854E2">
        <w:rPr>
          <w:rFonts w:eastAsia="Helvetica"/>
          <w:u w:color="000000"/>
          <w:bdr w:val="nil"/>
          <w:lang w:val="en-US" w:eastAsia="fr-CH"/>
        </w:rPr>
        <w:t>regulate the real estate market and the financial actors operating on this market so as to ensure access to affordable and adequate housing for all.</w:t>
      </w:r>
      <w:r w:rsidRPr="006854E2">
        <w:rPr>
          <w:rFonts w:eastAsia="Helvetica"/>
          <w:sz w:val="18"/>
          <w:u w:color="000000"/>
          <w:bdr w:val="nil"/>
          <w:vertAlign w:val="superscript"/>
          <w:lang w:val="en-US" w:eastAsia="fr-CH"/>
        </w:rPr>
        <w:footnoteReference w:id="49"/>
      </w:r>
      <w:r w:rsidRPr="006854E2">
        <w:rPr>
          <w:rFonts w:eastAsia="Helvetica"/>
          <w:color w:val="000000"/>
          <w:u w:color="000000"/>
          <w:bdr w:val="nil"/>
          <w:lang w:val="en-US" w:eastAsia="fr-CH"/>
        </w:rPr>
        <w:t xml:space="preserve"> Such violations are facilitated where insufficient safeguards exist to address corruption of public officials or private-to-private corruption, or where, as a result of corruption of judges, human rights abuses are left unremedied. </w:t>
      </w:r>
    </w:p>
    <w:p w:rsidR="006854E2" w:rsidRPr="006854E2" w:rsidRDefault="006854E2" w:rsidP="00BA7C63">
      <w:pPr>
        <w:numPr>
          <w:ilvl w:val="0"/>
          <w:numId w:val="12"/>
        </w:numPr>
        <w:spacing w:after="120"/>
        <w:ind w:left="1134" w:right="1134" w:firstLine="0"/>
        <w:jc w:val="both"/>
        <w:rPr>
          <w:rFonts w:eastAsia="Verdana"/>
          <w:color w:val="000000"/>
          <w:u w:color="000000"/>
          <w:bdr w:val="nil"/>
          <w:lang w:val="en-US" w:eastAsia="fr-CH"/>
        </w:rPr>
      </w:pPr>
      <w:r w:rsidRPr="006854E2">
        <w:rPr>
          <w:rFonts w:eastAsia="Malgun Gothic"/>
          <w:lang w:eastAsia="fr-FR"/>
        </w:rPr>
        <w:t>The</w:t>
      </w:r>
      <w:r w:rsidRPr="006854E2">
        <w:rPr>
          <w:rFonts w:eastAsia="Verdana"/>
          <w:color w:val="000000"/>
          <w:u w:color="000000"/>
          <w:bdr w:val="nil"/>
          <w:shd w:val="clear" w:color="auto" w:fill="FEFEFE"/>
          <w:lang w:val="en-US" w:eastAsia="fr-CH"/>
        </w:rPr>
        <w:t xml:space="preserve"> obligation to protect at times necessitates direct regulation and intervention. States Parties </w:t>
      </w:r>
      <w:r w:rsidRPr="006854E2">
        <w:rPr>
          <w:rFonts w:eastAsia="Helvetica"/>
          <w:color w:val="000000"/>
          <w:u w:color="000000"/>
          <w:bdr w:val="nil"/>
          <w:lang w:eastAsia="fr-CH"/>
        </w:rPr>
        <w:t>should consider measures such as, for instance:</w:t>
      </w:r>
      <w:r w:rsidRPr="006854E2">
        <w:rPr>
          <w:rFonts w:eastAsia="Verdana"/>
          <w:color w:val="000000"/>
          <w:u w:color="000000"/>
          <w:bdr w:val="nil"/>
          <w:shd w:val="clear" w:color="auto" w:fill="FEFEFE"/>
          <w:lang w:val="en-US" w:eastAsia="fr-CH"/>
        </w:rPr>
        <w:t xml:space="preserve"> restricting marketing and advertising of certain goods and services in order to protect public health</w:t>
      </w:r>
      <w:r w:rsidRPr="006854E2">
        <w:rPr>
          <w:rFonts w:eastAsia="Verdana"/>
          <w:color w:val="000000"/>
          <w:u w:color="000000"/>
          <w:bdr w:val="nil"/>
          <w:shd w:val="clear" w:color="auto" w:fill="FEFEFE"/>
          <w:vertAlign w:val="superscript"/>
          <w:lang w:val="en-US" w:eastAsia="fr-CH"/>
        </w:rPr>
        <w:footnoteReference w:id="50"/>
      </w:r>
      <w:r w:rsidRPr="006854E2">
        <w:rPr>
          <w:rFonts w:eastAsia="Verdana"/>
          <w:color w:val="000000"/>
          <w:u w:color="000000"/>
          <w:bdr w:val="nil"/>
          <w:shd w:val="clear" w:color="auto" w:fill="FEFEFE"/>
          <w:lang w:val="en-US" w:eastAsia="fr-CH"/>
        </w:rPr>
        <w:t xml:space="preserve"> such as of tobacco products in line with the Framework Convention on Tobacco Control,</w:t>
      </w:r>
      <w:r w:rsidRPr="006854E2">
        <w:rPr>
          <w:rFonts w:eastAsia="Verdana"/>
          <w:color w:val="000000"/>
          <w:sz w:val="18"/>
          <w:u w:color="000000"/>
          <w:bdr w:val="nil"/>
          <w:shd w:val="clear" w:color="auto" w:fill="FEFEFE"/>
          <w:vertAlign w:val="superscript"/>
          <w:lang w:val="en-US" w:eastAsia="fr-CH"/>
        </w:rPr>
        <w:footnoteReference w:id="51"/>
      </w:r>
      <w:r w:rsidRPr="006854E2">
        <w:rPr>
          <w:rFonts w:eastAsia="Verdana"/>
          <w:color w:val="000000"/>
          <w:u w:color="000000"/>
          <w:bdr w:val="nil"/>
          <w:shd w:val="clear" w:color="auto" w:fill="FEFEFE"/>
          <w:lang w:val="en-US" w:eastAsia="fr-CH"/>
        </w:rPr>
        <w:t xml:space="preserve"> and of breast-milk substitutes, in accordance with the 1981 International Code of Marketing of Breast-Milk Substitutes and subsequent resolutions of the World Health Assembly</w:t>
      </w:r>
      <w:r w:rsidRPr="006854E2">
        <w:rPr>
          <w:rFonts w:eastAsia="Verdana"/>
          <w:color w:val="000000"/>
          <w:sz w:val="18"/>
          <w:u w:color="000000"/>
          <w:bdr w:val="nil"/>
          <w:shd w:val="clear" w:color="auto" w:fill="FEFEFE"/>
          <w:vertAlign w:val="superscript"/>
          <w:lang w:val="en-US" w:eastAsia="fr-CH"/>
        </w:rPr>
        <w:footnoteReference w:id="52"/>
      </w:r>
      <w:r w:rsidRPr="006854E2">
        <w:rPr>
          <w:rFonts w:eastAsia="Verdana"/>
          <w:color w:val="000000"/>
          <w:u w:color="000000"/>
          <w:bdr w:val="nil"/>
          <w:shd w:val="clear" w:color="auto" w:fill="FEFEFE"/>
          <w:lang w:val="en-US" w:eastAsia="fr-CH"/>
        </w:rPr>
        <w:t xml:space="preserve">; combating </w:t>
      </w:r>
      <w:r w:rsidRPr="006854E2">
        <w:rPr>
          <w:rFonts w:eastAsia="Malgun Gothic" w:hint="eastAsia"/>
          <w:color w:val="000000"/>
          <w:u w:color="000000"/>
          <w:bdr w:val="nil"/>
          <w:shd w:val="clear" w:color="auto" w:fill="FEFEFE"/>
          <w:lang w:val="en-US" w:eastAsia="ko-KR"/>
        </w:rPr>
        <w:t xml:space="preserve">gender role </w:t>
      </w:r>
      <w:r w:rsidRPr="006854E2">
        <w:rPr>
          <w:rFonts w:eastAsia="Verdana"/>
          <w:color w:val="000000"/>
          <w:u w:color="000000"/>
          <w:bdr w:val="nil"/>
          <w:shd w:val="clear" w:color="auto" w:fill="FEFEFE"/>
          <w:lang w:val="en-US" w:eastAsia="fr-CH"/>
        </w:rPr>
        <w:t>stereotyping and discrimination</w:t>
      </w:r>
      <w:r w:rsidRPr="006854E2">
        <w:rPr>
          <w:rFonts w:eastAsia="Verdana"/>
          <w:color w:val="000000"/>
          <w:u w:color="000000"/>
          <w:bdr w:val="nil"/>
          <w:shd w:val="clear" w:color="auto" w:fill="FEFEFE"/>
          <w:vertAlign w:val="superscript"/>
          <w:lang w:val="en-US" w:eastAsia="fr-CH"/>
        </w:rPr>
        <w:footnoteReference w:id="53"/>
      </w:r>
      <w:r w:rsidRPr="006854E2">
        <w:rPr>
          <w:rFonts w:eastAsia="Verdana"/>
          <w:color w:val="000000"/>
          <w:u w:color="000000"/>
          <w:bdr w:val="nil"/>
          <w:shd w:val="clear" w:color="auto" w:fill="FEFEFE"/>
          <w:lang w:val="en-US" w:eastAsia="fr-CH"/>
        </w:rPr>
        <w:t>; exercising rent control in the private housing market  as required for the protection of everyone’s right to adequate housing</w:t>
      </w:r>
      <w:r w:rsidRPr="006854E2">
        <w:rPr>
          <w:rFonts w:eastAsia="Verdana"/>
          <w:color w:val="000000"/>
          <w:u w:color="000000"/>
          <w:bdr w:val="nil"/>
          <w:shd w:val="clear" w:color="auto" w:fill="FEFEFE"/>
          <w:vertAlign w:val="superscript"/>
          <w:lang w:val="en-US" w:eastAsia="fr-CH"/>
        </w:rPr>
        <w:footnoteReference w:id="54"/>
      </w:r>
      <w:r w:rsidRPr="006854E2">
        <w:rPr>
          <w:rFonts w:eastAsia="Verdana"/>
          <w:color w:val="000000"/>
          <w:u w:color="000000"/>
          <w:bdr w:val="nil"/>
          <w:shd w:val="clear" w:color="auto" w:fill="FEFEFE"/>
          <w:lang w:val="en-US" w:eastAsia="fr-CH"/>
        </w:rPr>
        <w:t>; establishing minimum wage consistent with a living wage and a fair remuneration</w:t>
      </w:r>
      <w:r w:rsidRPr="006854E2">
        <w:rPr>
          <w:rFonts w:eastAsia="Verdana"/>
          <w:color w:val="000000"/>
          <w:u w:color="000000"/>
          <w:bdr w:val="nil"/>
          <w:shd w:val="clear" w:color="auto" w:fill="FEFEFE"/>
          <w:vertAlign w:val="superscript"/>
          <w:lang w:val="en-US" w:eastAsia="fr-CH"/>
        </w:rPr>
        <w:footnoteReference w:id="55"/>
      </w:r>
      <w:r w:rsidRPr="006854E2">
        <w:rPr>
          <w:rFonts w:eastAsia="Verdana"/>
          <w:color w:val="000000"/>
          <w:u w:color="000000"/>
          <w:bdr w:val="nil"/>
          <w:shd w:val="clear" w:color="auto" w:fill="FEFEFE"/>
          <w:lang w:val="en-US" w:eastAsia="fr-CH"/>
        </w:rPr>
        <w:t>; regulating other business activities concerning the Covenant rights to education, employment, and reproductive health, in order to effectively combat gender discrimination</w:t>
      </w:r>
      <w:r w:rsidRPr="006854E2">
        <w:rPr>
          <w:rFonts w:eastAsia="Verdana"/>
          <w:color w:val="000000"/>
          <w:u w:color="000000"/>
          <w:bdr w:val="nil"/>
          <w:shd w:val="clear" w:color="auto" w:fill="FEFEFE"/>
          <w:vertAlign w:val="superscript"/>
          <w:lang w:val="en-US" w:eastAsia="fr-CH"/>
        </w:rPr>
        <w:footnoteReference w:id="56"/>
      </w:r>
      <w:r w:rsidRPr="006854E2">
        <w:rPr>
          <w:rFonts w:eastAsia="Verdana"/>
          <w:color w:val="000000"/>
          <w:u w:color="000000"/>
          <w:bdr w:val="nil"/>
          <w:shd w:val="clear" w:color="auto" w:fill="FEFEFE"/>
          <w:lang w:val="en-US" w:eastAsia="fr-CH"/>
        </w:rPr>
        <w:t xml:space="preserve">; and gradually eliminating informal or "non-standard" (i.e., precarious) forms of employment, which often result in denying the workers concerned the protection of labour laws and social security.  </w:t>
      </w:r>
    </w:p>
    <w:p w:rsidR="006854E2" w:rsidRPr="006854E2" w:rsidRDefault="006854E2" w:rsidP="00BA7C63">
      <w:pPr>
        <w:numPr>
          <w:ilvl w:val="0"/>
          <w:numId w:val="12"/>
        </w:numPr>
        <w:spacing w:after="120"/>
        <w:ind w:left="1134" w:right="1134" w:firstLine="0"/>
        <w:jc w:val="both"/>
        <w:rPr>
          <w:rFonts w:eastAsia="Verdana"/>
          <w:color w:val="000000"/>
          <w:u w:color="000000"/>
          <w:bdr w:val="nil"/>
          <w:lang w:val="en-US" w:eastAsia="fr-CH"/>
        </w:rPr>
      </w:pPr>
      <w:r w:rsidRPr="006854E2">
        <w:rPr>
          <w:rFonts w:eastAsia="Malgun Gothic"/>
          <w:lang w:eastAsia="fr-FR"/>
        </w:rPr>
        <w:t>Corruption</w:t>
      </w:r>
      <w:r w:rsidRPr="006854E2">
        <w:rPr>
          <w:rFonts w:eastAsia="Verdana"/>
          <w:color w:val="000000"/>
          <w:u w:color="000000"/>
          <w:bdr w:val="nil"/>
          <w:shd w:val="clear" w:color="auto" w:fill="FEFEFE"/>
          <w:lang w:val="en-US" w:eastAsia="fr-CH"/>
        </w:rPr>
        <w:t xml:space="preserve"> constitutes one of the major obstacles to the effective promotion and protection of human rights, particularly as regards the activities of businesses.</w:t>
      </w:r>
      <w:r w:rsidRPr="006854E2">
        <w:rPr>
          <w:rFonts w:eastAsia="Verdana"/>
          <w:color w:val="000000"/>
          <w:sz w:val="18"/>
          <w:u w:color="000000"/>
          <w:bdr w:val="nil"/>
          <w:shd w:val="clear" w:color="auto" w:fill="FEFEFE"/>
          <w:vertAlign w:val="superscript"/>
          <w:lang w:val="en-US" w:eastAsia="fr-CH"/>
        </w:rPr>
        <w:footnoteReference w:id="57"/>
      </w:r>
      <w:r w:rsidRPr="006854E2">
        <w:rPr>
          <w:rFonts w:eastAsia="Verdana"/>
          <w:color w:val="000000"/>
          <w:u w:color="000000"/>
          <w:bdr w:val="nil"/>
          <w:shd w:val="clear" w:color="auto" w:fill="FEFEFE"/>
          <w:lang w:val="en-US" w:eastAsia="fr-CH"/>
        </w:rPr>
        <w:t xml:space="preserve"> It also undermines a State's ability to mobilize resources for the delivery of services essential for the realization of economic, social and cultural rights. It leads to discriminatory access to public services in favor of those able to influence authorities, including by offering bribes or resorting to political pressures. Therefore, whistle-blowers should be protected,</w:t>
      </w:r>
      <w:r w:rsidRPr="006854E2">
        <w:rPr>
          <w:rFonts w:eastAsia="Verdana"/>
          <w:color w:val="000000"/>
          <w:sz w:val="18"/>
          <w:u w:color="000000"/>
          <w:bdr w:val="nil"/>
          <w:shd w:val="clear" w:color="auto" w:fill="FEFEFE"/>
          <w:vertAlign w:val="superscript"/>
          <w:lang w:val="en-US" w:eastAsia="fr-CH"/>
        </w:rPr>
        <w:footnoteReference w:id="58"/>
      </w:r>
      <w:r w:rsidRPr="006854E2">
        <w:rPr>
          <w:rFonts w:eastAsia="Verdana"/>
          <w:color w:val="000000"/>
          <w:u w:color="000000"/>
          <w:bdr w:val="nil"/>
          <w:shd w:val="clear" w:color="auto" w:fill="FEFEFE"/>
          <w:lang w:val="en-US" w:eastAsia="fr-CH"/>
        </w:rPr>
        <w:t xml:space="preserve"> and specialized mechanisms against corruption should be established, their independence should be guaranteed and they should be sufficiently well resourced.</w:t>
      </w:r>
    </w:p>
    <w:p w:rsidR="006854E2" w:rsidRPr="006854E2" w:rsidRDefault="006854E2" w:rsidP="00BA7C63">
      <w:pPr>
        <w:numPr>
          <w:ilvl w:val="0"/>
          <w:numId w:val="12"/>
        </w:numPr>
        <w:spacing w:after="120"/>
        <w:ind w:left="1134" w:right="1134" w:firstLine="0"/>
        <w:jc w:val="both"/>
        <w:rPr>
          <w:rFonts w:eastAsia="Verdana"/>
          <w:u w:color="000000"/>
          <w:bdr w:val="nil"/>
          <w:lang w:val="en-US" w:eastAsia="fr-CH"/>
        </w:rPr>
      </w:pPr>
      <w:r w:rsidRPr="006854E2">
        <w:rPr>
          <w:rFonts w:eastAsia="Verdana"/>
          <w:color w:val="000000"/>
          <w:u w:color="000000"/>
          <w:bdr w:val="nil"/>
          <w:lang w:val="en-US" w:eastAsia="fr-CH"/>
        </w:rPr>
        <w:t xml:space="preserve">The increased role and impact of private actors in traditionally public sectors, such as in the </w:t>
      </w:r>
      <w:r w:rsidRPr="006854E2">
        <w:rPr>
          <w:rFonts w:eastAsia="Malgun Gothic"/>
          <w:lang w:eastAsia="fr-FR"/>
        </w:rPr>
        <w:t>health</w:t>
      </w:r>
      <w:r w:rsidRPr="006854E2">
        <w:rPr>
          <w:rFonts w:eastAsia="Verdana"/>
          <w:color w:val="000000"/>
          <w:u w:color="000000"/>
          <w:bdr w:val="nil"/>
          <w:lang w:val="en-US" w:eastAsia="fr-CH"/>
        </w:rPr>
        <w:t xml:space="preserve"> or education sectors, pose new challenges for States Parties in complying with their obligations under the Covenant. </w:t>
      </w:r>
      <w:r w:rsidRPr="006854E2">
        <w:rPr>
          <w:rFonts w:eastAsia="Malgun Gothic"/>
        </w:rPr>
        <w:t xml:space="preserve">Privatization is not </w:t>
      </w:r>
      <w:r w:rsidRPr="006854E2">
        <w:rPr>
          <w:rFonts w:eastAsia="Malgun Gothic"/>
          <w:i/>
        </w:rPr>
        <w:t>per se</w:t>
      </w:r>
      <w:r w:rsidRPr="006854E2">
        <w:rPr>
          <w:rFonts w:eastAsia="Malgun Gothic"/>
        </w:rPr>
        <w:t xml:space="preserve"> prohibited by the Covenant even in areas such as the provision of water or electricity, education or healthcare where the role of the public sector has traditionally been strong. Private providers however should be subject to strict regulations, imposing on them so-called "public service obligations": in the provision of water or electricity, this may include requirements concerning universality of coverage and the continuity of the service, pricing policies, quality requirements, and user participation.</w:t>
      </w:r>
      <w:r w:rsidRPr="006854E2">
        <w:rPr>
          <w:rFonts w:eastAsia="Malgun Gothic"/>
          <w:vertAlign w:val="superscript"/>
        </w:rPr>
        <w:footnoteReference w:id="59"/>
      </w:r>
      <w:r w:rsidRPr="006854E2">
        <w:rPr>
          <w:rFonts w:eastAsia="Malgun Gothic"/>
        </w:rPr>
        <w:t xml:space="preserve"> Similarly, </w:t>
      </w:r>
      <w:r w:rsidRPr="006854E2">
        <w:rPr>
          <w:rFonts w:eastAsia="Helvetica"/>
          <w:u w:color="000000"/>
          <w:bdr w:val="nil"/>
          <w:lang w:val="en-US" w:eastAsia="fr-CH"/>
        </w:rPr>
        <w:t>private healthcare providers should be prohibited from denying access to affordable and adequate services, treatments or information. For instance, where health practitioners are allowed to invoke conscientious objection to refuse to provide certain sexual and reproductive health services, including abortion, they should refer the women or girls seeking such services to another practitioner within reasonable geographical reach, willing to provide such services.</w:t>
      </w:r>
      <w:r w:rsidRPr="006854E2">
        <w:rPr>
          <w:rFonts w:eastAsia="Helvetica"/>
          <w:sz w:val="18"/>
          <w:u w:color="000000"/>
          <w:bdr w:val="nil"/>
          <w:vertAlign w:val="superscript"/>
          <w:lang w:val="en-US" w:eastAsia="fr-CH"/>
        </w:rPr>
        <w:footnoteReference w:id="60"/>
      </w:r>
      <w:r w:rsidRPr="006854E2">
        <w:rPr>
          <w:rFonts w:eastAsia="Helvetica"/>
          <w:u w:color="000000"/>
          <w:bdr w:val="nil"/>
          <w:lang w:val="en-US" w:eastAsia="fr-CH"/>
        </w:rPr>
        <w:t xml:space="preserve"> </w:t>
      </w:r>
    </w:p>
    <w:p w:rsidR="006854E2" w:rsidRPr="006854E2" w:rsidRDefault="006854E2" w:rsidP="00BA7C63">
      <w:pPr>
        <w:numPr>
          <w:ilvl w:val="0"/>
          <w:numId w:val="12"/>
        </w:numPr>
        <w:spacing w:after="120"/>
        <w:ind w:left="1134" w:right="1134" w:firstLine="0"/>
        <w:jc w:val="both"/>
        <w:rPr>
          <w:rFonts w:eastAsia="Verdana"/>
          <w:color w:val="000000"/>
          <w:u w:color="000000"/>
          <w:bdr w:val="nil"/>
          <w:shd w:val="clear" w:color="auto" w:fill="FEFEFE"/>
          <w:lang w:val="en-US" w:eastAsia="fr-CH"/>
        </w:rPr>
      </w:pPr>
      <w:r w:rsidRPr="006854E2">
        <w:rPr>
          <w:rFonts w:eastAsia="Malgun Gothic"/>
          <w:lang w:eastAsia="fr-FR"/>
        </w:rPr>
        <w:t>The</w:t>
      </w:r>
      <w:r w:rsidRPr="006854E2">
        <w:rPr>
          <w:rFonts w:eastAsia="Verdana"/>
          <w:color w:val="000000"/>
          <w:u w:color="000000"/>
          <w:bdr w:val="nil"/>
          <w:lang w:val="en-US" w:eastAsia="fr-CH"/>
        </w:rPr>
        <w:t xml:space="preserve"> Committee is particularly concerned that goods and services that are necessary for the enjoyment of basic economic, social and cultural rights may become less affordable as a result of such goods and services being provided by the private sector, or that quality may be sacrificed for the sake of increasing profits. The provision by private actors of goods and services essential for the enjoyment of Covenant rights should not lead the enjoyment of Covenant rights to be made conditional on the ability to pay, thus creating new forms of socio-economic segregation. The privatization of education illustrates such a risk, where private educational institutions lead to making high-quality education a privilege affordable only to the wealthiest segments of society, or where they are insufficiently regulated, providing a form of education that does not meet minimum educational standards while giving a convenient excuse for States Parties not to discharge their own duties towards the fulfilment of the right to education.</w:t>
      </w:r>
      <w:r w:rsidRPr="006854E2">
        <w:rPr>
          <w:rFonts w:eastAsia="Verdana"/>
          <w:color w:val="000000"/>
          <w:sz w:val="18"/>
          <w:u w:color="000000"/>
          <w:bdr w:val="nil"/>
          <w:vertAlign w:val="superscript"/>
          <w:lang w:val="en-US" w:eastAsia="fr-CH"/>
        </w:rPr>
        <w:footnoteReference w:id="61"/>
      </w:r>
      <w:r w:rsidRPr="006854E2">
        <w:rPr>
          <w:rFonts w:eastAsia="Verdana"/>
          <w:color w:val="000000"/>
          <w:u w:color="000000"/>
          <w:bdr w:val="nil"/>
          <w:lang w:val="en-US" w:eastAsia="fr-CH"/>
        </w:rPr>
        <w:t xml:space="preserve"> Nor should privatization result in excluding certain groups that have been historically marginalized, such as persons with disabilities. States thus retain at all times the obligation to regulate private actors to ensure that the services they provide are accessible to all, are adequate, are regularly assessed in order to meet the changing needs of the public and are adapted to those needs. Since privatisation of the delivery of goods or services essential to the enjoyment of Covenant rights may result in a lack of accountability, measures should be adopted to ensure the right of individuals to participate in assessing the adequacy of the provision of such goods and services. </w:t>
      </w:r>
    </w:p>
    <w:p w:rsidR="006854E2" w:rsidRPr="006854E2" w:rsidRDefault="00BA7C63" w:rsidP="00BA7C63">
      <w:pPr>
        <w:pStyle w:val="H23G"/>
        <w:rPr>
          <w:rFonts w:eastAsia="Verdana"/>
          <w:u w:color="000000"/>
          <w:bdr w:val="nil"/>
          <w:lang w:val="en-US" w:eastAsia="fr-CH"/>
        </w:rPr>
      </w:pPr>
      <w:r>
        <w:rPr>
          <w:rFonts w:eastAsia="Verdana"/>
          <w:u w:color="000000"/>
          <w:bdr w:val="nil"/>
          <w:lang w:val="en-US" w:eastAsia="fr-CH"/>
        </w:rPr>
        <w:tab/>
      </w:r>
      <w:r>
        <w:rPr>
          <w:rFonts w:eastAsia="Verdana"/>
          <w:u w:color="000000"/>
          <w:bdr w:val="nil"/>
          <w:lang w:val="en-US" w:eastAsia="fr-CH"/>
        </w:rPr>
        <w:tab/>
      </w:r>
      <w:r w:rsidR="006854E2" w:rsidRPr="006854E2">
        <w:rPr>
          <w:rFonts w:eastAsia="Verdana"/>
          <w:u w:color="000000"/>
          <w:bdr w:val="nil"/>
          <w:lang w:val="en-US" w:eastAsia="fr-CH"/>
        </w:rPr>
        <w:t>Obligation to fulfil</w:t>
      </w:r>
    </w:p>
    <w:p w:rsidR="006854E2" w:rsidRPr="006854E2" w:rsidRDefault="006854E2" w:rsidP="00BA7C63">
      <w:pPr>
        <w:numPr>
          <w:ilvl w:val="0"/>
          <w:numId w:val="12"/>
        </w:numPr>
        <w:spacing w:after="120"/>
        <w:ind w:left="1134" w:right="1134" w:firstLine="0"/>
        <w:jc w:val="both"/>
        <w:rPr>
          <w:rFonts w:eastAsia="Helvetica"/>
          <w:color w:val="000000"/>
          <w:u w:color="000000"/>
          <w:bdr w:val="nil"/>
          <w:lang w:val="en-US" w:eastAsia="fr-CH"/>
        </w:rPr>
      </w:pPr>
      <w:r w:rsidRPr="006854E2">
        <w:rPr>
          <w:rFonts w:eastAsia="Malgun Gothic"/>
          <w:lang w:eastAsia="fr-FR"/>
        </w:rPr>
        <w:t>The</w:t>
      </w:r>
      <w:r w:rsidRPr="006854E2">
        <w:rPr>
          <w:rFonts w:eastAsia="Verdana"/>
          <w:iCs/>
          <w:color w:val="000000"/>
          <w:u w:color="000000"/>
          <w:bdr w:val="nil"/>
          <w:lang w:val="en-US" w:eastAsia="fr-CH"/>
        </w:rPr>
        <w:t xml:space="preserve"> obligation to fulfil requires States Parties to take necessary steps, to the maximum of their available resources, to facilitate and promote the enjoyment of Covenant rights, and, in certain cases, to directly provide goods and services essential to such enjoyment. </w:t>
      </w:r>
      <w:r w:rsidRPr="006854E2">
        <w:rPr>
          <w:rFonts w:eastAsia="Verdana"/>
          <w:color w:val="000000"/>
          <w:u w:color="000000"/>
          <w:bdr w:val="nil"/>
          <w:lang w:val="en-US" w:eastAsia="fr-CH"/>
        </w:rPr>
        <w:t xml:space="preserve">Discharging such duties may require the mobilization of resources by the State, </w:t>
      </w:r>
      <w:r w:rsidRPr="006854E2">
        <w:rPr>
          <w:rFonts w:eastAsia="Verdana"/>
          <w:color w:val="000000"/>
          <w:u w:color="000000"/>
          <w:bdr w:val="nil"/>
          <w:shd w:val="clear" w:color="auto" w:fill="FEFEFE"/>
          <w:lang w:val="en-US" w:eastAsia="fr-CH"/>
        </w:rPr>
        <w:t>including by enforcing progressive taxation schemes. It may require seeking business cooperation and support to implement the Covenant rights and comply with other human rights standards and principles.</w:t>
      </w:r>
    </w:p>
    <w:p w:rsidR="006854E2" w:rsidRPr="006854E2" w:rsidRDefault="006854E2" w:rsidP="00BA7C63">
      <w:pPr>
        <w:numPr>
          <w:ilvl w:val="0"/>
          <w:numId w:val="12"/>
        </w:numPr>
        <w:spacing w:after="120"/>
        <w:ind w:left="1134" w:right="1134" w:firstLine="0"/>
        <w:jc w:val="both"/>
        <w:rPr>
          <w:rFonts w:eastAsia="Verdana"/>
          <w:color w:val="000000"/>
          <w:u w:color="000000"/>
          <w:bdr w:val="nil"/>
          <w:lang w:val="en-US" w:eastAsia="fr-CH"/>
        </w:rPr>
      </w:pPr>
      <w:r w:rsidRPr="006854E2">
        <w:rPr>
          <w:rFonts w:eastAsia="Verdana"/>
          <w:color w:val="000000"/>
          <w:u w:color="000000"/>
          <w:bdr w:val="nil"/>
          <w:lang w:val="en-US" w:eastAsia="fr-CH"/>
        </w:rPr>
        <w:t xml:space="preserve"> This obligation also requires directing the efforts of business entities towards the </w:t>
      </w:r>
      <w:r w:rsidRPr="006854E2">
        <w:rPr>
          <w:rFonts w:eastAsia="Malgun Gothic"/>
          <w:lang w:eastAsia="fr-FR"/>
        </w:rPr>
        <w:t>fulfillment</w:t>
      </w:r>
      <w:r w:rsidRPr="006854E2">
        <w:rPr>
          <w:rFonts w:eastAsia="Verdana"/>
          <w:color w:val="000000"/>
          <w:u w:color="000000"/>
          <w:bdr w:val="nil"/>
          <w:lang w:val="en-US" w:eastAsia="fr-CH"/>
        </w:rPr>
        <w:t xml:space="preserve"> of Covenant rights. In designing a framework on</w:t>
      </w:r>
      <w:r w:rsidRPr="006854E2">
        <w:rPr>
          <w:rFonts w:eastAsia="Verdana"/>
          <w:color w:val="000000"/>
          <w:u w:color="000000"/>
          <w:bdr w:val="nil"/>
          <w:shd w:val="clear" w:color="auto" w:fill="FEFEFE"/>
          <w:lang w:val="en-US" w:eastAsia="fr-CH"/>
        </w:rPr>
        <w:t xml:space="preserve"> intellectual property rights for instance, consistent with the Universal Declaration on Human Rights and the right to enjoy the benefits of scientific progress stipulated in article 15 of the Covenant, States Parties should ensure that intellectual property rights do not lead to denial or restriction of everyone’s access to essential medicines necessary for the enjoyment of the right to health</w:t>
      </w:r>
      <w:r w:rsidRPr="006854E2">
        <w:rPr>
          <w:rFonts w:eastAsia="Verdana"/>
          <w:color w:val="000000"/>
          <w:u w:color="000000"/>
          <w:bdr w:val="nil"/>
          <w:shd w:val="clear" w:color="auto" w:fill="FEFEFE"/>
          <w:vertAlign w:val="superscript"/>
          <w:lang w:val="en-US" w:eastAsia="fr-CH"/>
        </w:rPr>
        <w:footnoteReference w:id="62"/>
      </w:r>
      <w:r w:rsidRPr="006854E2">
        <w:rPr>
          <w:rFonts w:eastAsia="Verdana"/>
          <w:color w:val="000000"/>
          <w:u w:color="000000"/>
          <w:bdr w:val="nil"/>
          <w:shd w:val="clear" w:color="auto" w:fill="FEFEFE"/>
          <w:lang w:val="en-US" w:eastAsia="fr-CH"/>
        </w:rPr>
        <w:t>, or to productive resources such as seeds, access to which is crucial to the right to food and to farmers' rights.</w:t>
      </w:r>
      <w:r w:rsidRPr="006854E2">
        <w:rPr>
          <w:rFonts w:eastAsia="Verdana"/>
          <w:color w:val="000000"/>
          <w:u w:color="000000"/>
          <w:bdr w:val="nil"/>
          <w:shd w:val="clear" w:color="auto" w:fill="FEFEFE"/>
          <w:vertAlign w:val="superscript"/>
          <w:lang w:val="en-US" w:eastAsia="fr-CH"/>
        </w:rPr>
        <w:footnoteReference w:id="63"/>
      </w:r>
      <w:r w:rsidRPr="006854E2">
        <w:rPr>
          <w:rFonts w:eastAsia="Verdana"/>
          <w:color w:val="000000"/>
          <w:u w:color="000000"/>
          <w:bdr w:val="nil"/>
          <w:shd w:val="clear" w:color="auto" w:fill="FEFEFE"/>
          <w:lang w:val="en-US" w:eastAsia="fr-CH"/>
        </w:rPr>
        <w:t xml:space="preserve"> States Parties should also </w:t>
      </w:r>
      <w:r w:rsidRPr="006854E2">
        <w:rPr>
          <w:rFonts w:eastAsia="Malgun Gothic"/>
        </w:rPr>
        <w:t xml:space="preserve">recognise and protect the right of indigenous peoples to </w:t>
      </w:r>
      <w:r w:rsidRPr="006854E2">
        <w:rPr>
          <w:rFonts w:eastAsia="Verdana"/>
          <w:color w:val="000000"/>
          <w:u w:color="000000"/>
          <w:bdr w:val="nil"/>
          <w:lang w:val="en-US" w:eastAsia="fr-CH"/>
        </w:rPr>
        <w:t>control the intellectual property over their cultural heritage, traditional knowledge, and traditional cultural expressions.</w:t>
      </w:r>
      <w:r w:rsidRPr="006854E2">
        <w:rPr>
          <w:rFonts w:eastAsia="Malgun Gothic"/>
          <w:sz w:val="18"/>
          <w:vertAlign w:val="superscript"/>
        </w:rPr>
        <w:footnoteReference w:id="64"/>
      </w:r>
      <w:r w:rsidRPr="006854E2">
        <w:rPr>
          <w:rFonts w:eastAsia="Malgun Gothic"/>
        </w:rPr>
        <w:t xml:space="preserve"> In supporting research and development of new products and services, </w:t>
      </w:r>
      <w:r w:rsidRPr="006854E2">
        <w:rPr>
          <w:rFonts w:eastAsia="Verdana"/>
          <w:color w:val="000000"/>
          <w:u w:color="000000"/>
          <w:bdr w:val="nil"/>
          <w:shd w:val="clear" w:color="auto" w:fill="FEFEFE"/>
          <w:lang w:val="en-US" w:eastAsia="fr-CH"/>
        </w:rPr>
        <w:t>States Parties should aim at the fulfilment of Covenant rights, for instance by supporting the development of universally designed goods, services, equipment and facilities, to advance the inclusion of persons with disabilities.</w:t>
      </w:r>
    </w:p>
    <w:p w:rsidR="006854E2" w:rsidRPr="006854E2" w:rsidRDefault="006854E2" w:rsidP="00BA7C63">
      <w:pPr>
        <w:pStyle w:val="H1G"/>
        <w:rPr>
          <w:rFonts w:eastAsia="Verdana"/>
          <w:u w:color="000000"/>
          <w:bdr w:val="nil"/>
          <w:lang w:val="fr-FR" w:eastAsia="fr-CH"/>
        </w:rPr>
      </w:pPr>
      <w:r w:rsidRPr="006854E2">
        <w:rPr>
          <w:rFonts w:eastAsia="Malgun Gothic"/>
          <w:u w:color="000000"/>
          <w:bdr w:val="nil"/>
          <w:lang w:val="fr-FR" w:eastAsia="fr-CH"/>
        </w:rPr>
        <w:tab/>
        <w:t>C.</w:t>
      </w:r>
      <w:r w:rsidRPr="006854E2">
        <w:rPr>
          <w:rFonts w:eastAsia="Malgun Gothic"/>
          <w:u w:color="000000"/>
          <w:bdr w:val="nil"/>
          <w:lang w:val="fr-FR" w:eastAsia="fr-CH"/>
        </w:rPr>
        <w:tab/>
        <w:t>Extraterritorial Obligations</w:t>
      </w:r>
    </w:p>
    <w:p w:rsidR="006854E2" w:rsidRPr="006854E2" w:rsidRDefault="006854E2" w:rsidP="00BA7C63">
      <w:pPr>
        <w:numPr>
          <w:ilvl w:val="0"/>
          <w:numId w:val="12"/>
        </w:numPr>
        <w:spacing w:after="120"/>
        <w:ind w:left="1134" w:right="1134" w:firstLine="0"/>
        <w:jc w:val="both"/>
        <w:rPr>
          <w:rFonts w:eastAsia="Helvetica"/>
          <w:color w:val="000000"/>
          <w:u w:color="000000"/>
          <w:bdr w:val="nil"/>
          <w:lang w:val="en-US" w:eastAsia="fr-CH"/>
        </w:rPr>
      </w:pPr>
      <w:r w:rsidRPr="006854E2">
        <w:rPr>
          <w:rFonts w:eastAsia="Verdana"/>
          <w:color w:val="000000"/>
          <w:u w:color="000000"/>
          <w:bdr w:val="nil"/>
          <w:lang w:val="en-US" w:eastAsia="fr-CH"/>
        </w:rPr>
        <w:t xml:space="preserve">The past thirty years have witnessed a significant increase of activities of transnational corporations, growing investment and trade flows between countries, and the emergence of global supply chains. In addition, major development projects have increasingly involved private investments, often in the form of public-private partnerships between State agencies </w:t>
      </w:r>
      <w:r w:rsidRPr="006854E2">
        <w:rPr>
          <w:rFonts w:eastAsia="Malgun Gothic"/>
          <w:lang w:eastAsia="fr-FR"/>
        </w:rPr>
        <w:t>and</w:t>
      </w:r>
      <w:r w:rsidRPr="006854E2">
        <w:rPr>
          <w:rFonts w:eastAsia="Verdana"/>
          <w:color w:val="000000"/>
          <w:u w:color="000000"/>
          <w:bdr w:val="nil"/>
          <w:lang w:val="en-US" w:eastAsia="fr-CH"/>
        </w:rPr>
        <w:t xml:space="preserve"> foreign private investors. These developments give particular significance to the question of extraterritorial human rights obligations of States.</w:t>
      </w:r>
    </w:p>
    <w:p w:rsidR="006854E2" w:rsidRPr="006854E2" w:rsidRDefault="006854E2" w:rsidP="00BA7C63">
      <w:pPr>
        <w:numPr>
          <w:ilvl w:val="0"/>
          <w:numId w:val="12"/>
        </w:numPr>
        <w:spacing w:after="120"/>
        <w:ind w:left="1134" w:right="1134" w:firstLine="0"/>
        <w:jc w:val="both"/>
        <w:rPr>
          <w:rFonts w:eastAsia="Helvetica"/>
          <w:color w:val="000000"/>
          <w:u w:color="000000"/>
          <w:bdr w:val="nil"/>
          <w:lang w:val="en-US" w:eastAsia="fr-CH"/>
        </w:rPr>
      </w:pPr>
      <w:r w:rsidRPr="006854E2">
        <w:rPr>
          <w:rFonts w:eastAsia="Helvetica"/>
          <w:color w:val="000000"/>
          <w:u w:color="000000"/>
          <w:bdr w:val="nil"/>
          <w:lang w:val="en-US" w:eastAsia="fr-CH"/>
        </w:rPr>
        <w:t>I</w:t>
      </w:r>
      <w:r w:rsidRPr="006854E2">
        <w:rPr>
          <w:rFonts w:eastAsia="Verdana"/>
          <w:color w:val="000000"/>
          <w:u w:color="000000"/>
          <w:bdr w:val="nil"/>
          <w:lang w:val="en-US" w:eastAsia="fr-CH"/>
        </w:rPr>
        <w:t xml:space="preserve">n its 2011 Statement on the obligations of States Parties regarding the corporate sector and economic, social and cultural rights, the Committee reiterated that States Parties’ </w:t>
      </w:r>
      <w:r w:rsidRPr="006854E2">
        <w:rPr>
          <w:rFonts w:eastAsia="Malgun Gothic"/>
          <w:lang w:eastAsia="fr-FR"/>
        </w:rPr>
        <w:t>obligations</w:t>
      </w:r>
      <w:r w:rsidRPr="006854E2">
        <w:rPr>
          <w:rFonts w:eastAsia="Verdana"/>
          <w:color w:val="000000"/>
          <w:u w:color="000000"/>
          <w:bdr w:val="nil"/>
          <w:lang w:val="en-US" w:eastAsia="fr-CH"/>
        </w:rPr>
        <w:t xml:space="preserve"> under the Covenant do not stop at their territorial borders. States Parties are required to take the necessary steps to prevent human rights violations abroad by corporations domiciled in their territory and/or jurisdiction (whether they are incorporated under their laws, or have their statutory seat, central administration or principal place of business on the national territory), without infringing the sovereignty or diminishing the obligations of the host States under the Covenant.</w:t>
      </w:r>
      <w:r w:rsidRPr="006854E2">
        <w:rPr>
          <w:rFonts w:eastAsia="Verdana"/>
          <w:color w:val="000000"/>
          <w:u w:color="000000"/>
          <w:bdr w:val="nil"/>
          <w:vertAlign w:val="superscript"/>
          <w:lang w:val="en-US" w:eastAsia="fr-CH"/>
        </w:rPr>
        <w:footnoteReference w:id="65"/>
      </w:r>
      <w:r w:rsidRPr="006854E2">
        <w:rPr>
          <w:rFonts w:eastAsia="Verdana"/>
          <w:color w:val="000000"/>
          <w:u w:color="000000"/>
          <w:bdr w:val="nil"/>
          <w:lang w:val="en-US" w:eastAsia="fr-CH"/>
        </w:rPr>
        <w:t xml:space="preserve"> The Committee has also addressed specific extraterritorial obligations of States Parties concerning business activities in its previous General Comments relating to the right to water,</w:t>
      </w:r>
      <w:r w:rsidRPr="006854E2">
        <w:rPr>
          <w:rFonts w:eastAsia="Verdana"/>
          <w:color w:val="000000"/>
          <w:u w:color="000000"/>
          <w:bdr w:val="nil"/>
          <w:vertAlign w:val="superscript"/>
          <w:lang w:val="en-US" w:eastAsia="fr-CH"/>
        </w:rPr>
        <w:footnoteReference w:id="66"/>
      </w:r>
      <w:r w:rsidRPr="006854E2">
        <w:rPr>
          <w:rFonts w:eastAsia="Verdana"/>
          <w:color w:val="000000"/>
          <w:u w:color="000000"/>
          <w:bdr w:val="nil"/>
          <w:lang w:val="en-US" w:eastAsia="fr-CH"/>
        </w:rPr>
        <w:t xml:space="preserve"> the right to work,</w:t>
      </w:r>
      <w:r w:rsidRPr="006854E2">
        <w:rPr>
          <w:rFonts w:eastAsia="Verdana"/>
          <w:color w:val="000000"/>
          <w:u w:color="000000"/>
          <w:bdr w:val="nil"/>
          <w:vertAlign w:val="superscript"/>
          <w:lang w:val="en-US" w:eastAsia="fr-CH"/>
        </w:rPr>
        <w:footnoteReference w:id="67"/>
      </w:r>
      <w:r w:rsidRPr="006854E2">
        <w:rPr>
          <w:rFonts w:eastAsia="Verdana"/>
          <w:color w:val="000000"/>
          <w:u w:color="000000"/>
          <w:bdr w:val="nil"/>
          <w:lang w:val="en-US" w:eastAsia="fr-CH"/>
        </w:rPr>
        <w:t xml:space="preserve"> the right to social security,</w:t>
      </w:r>
      <w:r w:rsidRPr="006854E2">
        <w:rPr>
          <w:rFonts w:eastAsia="Verdana"/>
          <w:color w:val="000000"/>
          <w:u w:color="000000"/>
          <w:bdr w:val="nil"/>
          <w:vertAlign w:val="superscript"/>
          <w:lang w:val="en-US" w:eastAsia="fr-CH"/>
        </w:rPr>
        <w:footnoteReference w:id="68"/>
      </w:r>
      <w:r w:rsidRPr="006854E2">
        <w:rPr>
          <w:rFonts w:eastAsia="Verdana"/>
          <w:color w:val="000000"/>
          <w:u w:color="000000"/>
          <w:bdr w:val="nil"/>
          <w:lang w:val="en-US" w:eastAsia="fr-CH"/>
        </w:rPr>
        <w:t xml:space="preserve"> the right to just and favourable conditions of work,</w:t>
      </w:r>
      <w:r w:rsidRPr="006854E2">
        <w:rPr>
          <w:rFonts w:eastAsia="Verdana"/>
          <w:color w:val="000000"/>
          <w:sz w:val="18"/>
          <w:u w:color="000000"/>
          <w:bdr w:val="nil"/>
          <w:vertAlign w:val="superscript"/>
          <w:lang w:val="en-US" w:eastAsia="fr-CH"/>
        </w:rPr>
        <w:footnoteReference w:id="69"/>
      </w:r>
      <w:r w:rsidRPr="006854E2">
        <w:rPr>
          <w:rFonts w:eastAsia="Verdana"/>
          <w:color w:val="000000"/>
          <w:u w:color="000000"/>
          <w:bdr w:val="nil"/>
          <w:lang w:val="en-US" w:eastAsia="fr-CH"/>
        </w:rPr>
        <w:t xml:space="preserve"> as well as in its examination of States' periodic reports.</w:t>
      </w:r>
    </w:p>
    <w:p w:rsidR="006854E2" w:rsidRPr="006854E2" w:rsidRDefault="006854E2" w:rsidP="00BA7C63">
      <w:pPr>
        <w:numPr>
          <w:ilvl w:val="0"/>
          <w:numId w:val="12"/>
        </w:numPr>
        <w:spacing w:after="120"/>
        <w:ind w:left="1134" w:right="1134" w:firstLine="0"/>
        <w:jc w:val="both"/>
        <w:rPr>
          <w:rFonts w:eastAsia="Helvetica"/>
          <w:color w:val="000000"/>
          <w:u w:color="000000"/>
          <w:bdr w:val="nil"/>
          <w:lang w:val="en-US" w:eastAsia="fr-CH"/>
        </w:rPr>
      </w:pPr>
      <w:r w:rsidRPr="006854E2">
        <w:rPr>
          <w:rFonts w:eastAsia="Batang"/>
          <w:bCs/>
          <w:color w:val="000000"/>
          <w:u w:color="000000"/>
          <w:bdr w:val="nil"/>
          <w:lang w:eastAsia="fr-CH"/>
        </w:rPr>
        <w:t xml:space="preserve">Such extraterritorial obligations of States under the Covenant follow </w:t>
      </w:r>
      <w:r w:rsidRPr="006854E2">
        <w:rPr>
          <w:rFonts w:eastAsia="Malgun Gothic"/>
          <w:szCs w:val="18"/>
          <w:lang w:val="nl-NL"/>
        </w:rPr>
        <w:t xml:space="preserve">from the fact that the obligations of the Covenant are expressed without any restriction linked to territory or jurisdiction. Although article 14 of the Covenant does refer to compulsory primary </w:t>
      </w:r>
      <w:r w:rsidRPr="006854E2">
        <w:rPr>
          <w:rFonts w:eastAsia="Malgun Gothic"/>
          <w:lang w:eastAsia="fr-FR"/>
        </w:rPr>
        <w:t>education</w:t>
      </w:r>
      <w:r w:rsidRPr="006854E2">
        <w:rPr>
          <w:rFonts w:eastAsia="Malgun Gothic"/>
          <w:szCs w:val="18"/>
          <w:lang w:val="nl-NL"/>
        </w:rPr>
        <w:t xml:space="preserve"> having to be provided by a State "in its </w:t>
      </w:r>
      <w:r w:rsidRPr="006854E2">
        <w:rPr>
          <w:rFonts w:eastAsia="Malgun Gothic"/>
          <w:szCs w:val="18"/>
        </w:rPr>
        <w:t>metropolitan territory or other territories under its jurisdiction", such a reference is absent from the other provisions of the Covenant.</w:t>
      </w:r>
      <w:r w:rsidRPr="006854E2">
        <w:rPr>
          <w:rFonts w:eastAsia="Verdana"/>
          <w:color w:val="000000"/>
          <w:u w:color="000000"/>
          <w:bdr w:val="nil"/>
          <w:lang w:val="en-US" w:eastAsia="fr-CH"/>
        </w:rPr>
        <w:t xml:space="preserve"> </w:t>
      </w:r>
      <w:r w:rsidRPr="006854E2">
        <w:rPr>
          <w:rFonts w:eastAsia="Batang"/>
          <w:bCs/>
          <w:color w:val="000000"/>
          <w:u w:color="000000"/>
          <w:bdr w:val="nil"/>
          <w:lang w:eastAsia="fr-CH"/>
        </w:rPr>
        <w:t xml:space="preserve">Moreover, article 2(1) refers to international assistance and cooperation as a means of fulfilling economic, social and cultural rights. It would be contradictory to such a reference to allow a State to remain passive where an actor domiciled in its territory and/or jurisdiction, and thus under its control or authority, harms the rights of others in other States, or where conduct by such an actor may lead to foreseeable harm being caused. Indeed, the Members of the United Nations have pledged </w:t>
      </w:r>
      <w:r w:rsidRPr="006854E2">
        <w:rPr>
          <w:rFonts w:eastAsia="Helvetica"/>
          <w:color w:val="000000"/>
          <w:u w:color="000000"/>
          <w:bdr w:val="nil"/>
          <w:lang w:eastAsia="fr-CH"/>
        </w:rPr>
        <w:t>“to take joint and separate action in cooperation with the Organization...” to achieve purposes set out in article 55 of the Charter, including: “... universal respect for, and observance of, human rights and fundamental freedoms for all without distinction as to race, sex, language, or religion.”</w:t>
      </w:r>
      <w:r w:rsidRPr="006854E2">
        <w:rPr>
          <w:rFonts w:eastAsia="Helvetica"/>
          <w:color w:val="000000"/>
          <w:u w:color="000000"/>
          <w:bdr w:val="nil"/>
          <w:vertAlign w:val="superscript"/>
          <w:lang w:eastAsia="fr-CH"/>
        </w:rPr>
        <w:footnoteReference w:id="70"/>
      </w:r>
      <w:r w:rsidRPr="006854E2">
        <w:rPr>
          <w:rFonts w:eastAsia="Helvetica"/>
          <w:color w:val="000000"/>
          <w:u w:color="000000"/>
          <w:bdr w:val="nil"/>
          <w:lang w:eastAsia="fr-CH"/>
        </w:rPr>
        <w:t xml:space="preserve"> This duty is expressed without any territorial limitation, and should be taken into account when addressing the scope of States' obligations under human rights treaties. Also in line with the Charter, </w:t>
      </w:r>
      <w:r w:rsidRPr="006854E2">
        <w:rPr>
          <w:rFonts w:eastAsia="Verdana"/>
          <w:color w:val="000000"/>
          <w:u w:color="000000"/>
          <w:bdr w:val="nil"/>
          <w:lang w:val="en-US" w:eastAsia="fr-CH"/>
        </w:rPr>
        <w:t>the International Court of Justice has acknowledged the extraterritorial scope of core human rights treaties, focusing on their object and purpose, legislative history and the lack of territorial limitation provisions in the text.</w:t>
      </w:r>
      <w:r w:rsidRPr="006854E2">
        <w:rPr>
          <w:rFonts w:eastAsia="Verdana"/>
          <w:color w:val="000000"/>
          <w:u w:color="000000"/>
          <w:bdr w:val="nil"/>
          <w:vertAlign w:val="superscript"/>
          <w:lang w:val="en-US" w:eastAsia="fr-CH"/>
        </w:rPr>
        <w:footnoteReference w:id="71"/>
      </w:r>
      <w:r w:rsidRPr="006854E2">
        <w:rPr>
          <w:rFonts w:eastAsia="Verdana"/>
          <w:color w:val="000000"/>
          <w:u w:color="000000"/>
          <w:bdr w:val="nil"/>
          <w:lang w:val="en-US" w:eastAsia="fr-CH"/>
        </w:rPr>
        <w:t xml:space="preserve"> </w:t>
      </w:r>
      <w:r w:rsidRPr="006854E2">
        <w:rPr>
          <w:rFonts w:eastAsia="Helvetica"/>
          <w:color w:val="000000"/>
          <w:u w:color="000000"/>
          <w:bdr w:val="nil"/>
          <w:lang w:eastAsia="fr-CH"/>
        </w:rPr>
        <w:t>Customary international law also prohibits a State from allowing its territory to be used to cause damage on the territory of another State, a requirement that has gained particular relevance in international environmental law.</w:t>
      </w:r>
      <w:r w:rsidRPr="006854E2">
        <w:rPr>
          <w:rFonts w:eastAsia="Helvetica"/>
          <w:color w:val="000000"/>
          <w:u w:color="000000"/>
          <w:bdr w:val="nil"/>
          <w:vertAlign w:val="superscript"/>
          <w:lang w:eastAsia="fr-CH"/>
        </w:rPr>
        <w:footnoteReference w:id="72"/>
      </w:r>
      <w:r w:rsidRPr="006854E2">
        <w:rPr>
          <w:rFonts w:eastAsia="Helvetica"/>
          <w:color w:val="000000"/>
          <w:u w:color="000000"/>
          <w:bdr w:val="nil"/>
          <w:lang w:eastAsia="fr-CH"/>
        </w:rPr>
        <w:t xml:space="preserve"> The Human Rights Council has confirmed that such prohibition extends to human rights law, when it endorsed the </w:t>
      </w:r>
      <w:r w:rsidRPr="006854E2">
        <w:rPr>
          <w:rFonts w:eastAsia="Malgun Gothic"/>
        </w:rPr>
        <w:t>Guiding Principles on Extreme Poverty and Human Rights in resolution 21/11.</w:t>
      </w:r>
      <w:r w:rsidRPr="006854E2">
        <w:rPr>
          <w:rFonts w:eastAsia="Malgun Gothic"/>
          <w:vertAlign w:val="superscript"/>
        </w:rPr>
        <w:footnoteReference w:id="73"/>
      </w:r>
      <w:r w:rsidRPr="006854E2">
        <w:rPr>
          <w:rFonts w:eastAsia="Malgun Gothic"/>
        </w:rPr>
        <w:t xml:space="preserve"> </w:t>
      </w:r>
    </w:p>
    <w:p w:rsidR="006854E2" w:rsidRPr="006854E2" w:rsidRDefault="006854E2" w:rsidP="00BA7C63">
      <w:pPr>
        <w:numPr>
          <w:ilvl w:val="0"/>
          <w:numId w:val="12"/>
        </w:numPr>
        <w:spacing w:after="120"/>
        <w:ind w:left="1134" w:right="1134" w:firstLine="0"/>
        <w:jc w:val="both"/>
        <w:rPr>
          <w:rFonts w:eastAsia="Helvetica"/>
          <w:color w:val="000000"/>
          <w:u w:color="000000"/>
          <w:bdr w:val="nil"/>
          <w:lang w:val="en-US" w:eastAsia="fr-CH"/>
        </w:rPr>
      </w:pPr>
      <w:r w:rsidRPr="006854E2">
        <w:rPr>
          <w:rFonts w:eastAsia="Batang"/>
          <w:bCs/>
          <w:color w:val="000000"/>
          <w:u w:color="000000"/>
          <w:bdr w:val="nil"/>
          <w:lang w:eastAsia="fr-CH"/>
        </w:rPr>
        <w:t>Extraterritorial obligations arise when a State Party may influence situations located outside its territory, consistent with the limits imposed by international law, by controlling the activities of corporations domiciled in its territory and/or jurisdiction, and thus may contribute to the effective enjoyment of economic, social and cultural rights outside its national territory.</w:t>
      </w:r>
      <w:r w:rsidRPr="006854E2">
        <w:rPr>
          <w:rFonts w:eastAsia="Batang"/>
          <w:bCs/>
          <w:color w:val="000000"/>
          <w:sz w:val="18"/>
          <w:u w:color="000000"/>
          <w:bdr w:val="nil"/>
          <w:vertAlign w:val="superscript"/>
          <w:lang w:eastAsia="fr-CH"/>
        </w:rPr>
        <w:footnoteReference w:id="74"/>
      </w:r>
      <w:r w:rsidRPr="006854E2">
        <w:rPr>
          <w:rFonts w:eastAsia="Verdana"/>
          <w:color w:val="000000"/>
          <w:u w:color="000000"/>
          <w:bdr w:val="nil"/>
          <w:lang w:val="en-US" w:eastAsia="fr-CH"/>
        </w:rPr>
        <w:t xml:space="preserve"> In this regard, the</w:t>
      </w:r>
      <w:r w:rsidRPr="006854E2">
        <w:rPr>
          <w:rFonts w:eastAsia="Helvetica"/>
          <w:color w:val="000000"/>
          <w:u w:color="000000"/>
          <w:bdr w:val="nil"/>
          <w:lang w:val="en-US" w:eastAsia="fr-CH"/>
        </w:rPr>
        <w:t xml:space="preserve"> Committee</w:t>
      </w:r>
      <w:r w:rsidRPr="006854E2">
        <w:rPr>
          <w:rFonts w:eastAsia="Verdana"/>
          <w:color w:val="000000"/>
          <w:u w:color="000000"/>
          <w:bdr w:val="nil"/>
          <w:lang w:val="en-US" w:eastAsia="fr-CH"/>
        </w:rPr>
        <w:t xml:space="preserve"> also takes note of the General Comment 16 of the Committee on the Rights of the Child,</w:t>
      </w:r>
      <w:r w:rsidRPr="006854E2">
        <w:rPr>
          <w:rFonts w:eastAsia="Verdana"/>
          <w:color w:val="000000"/>
          <w:u w:color="000000"/>
          <w:bdr w:val="nil"/>
          <w:vertAlign w:val="superscript"/>
          <w:lang w:val="en-US" w:eastAsia="fr-CH"/>
        </w:rPr>
        <w:footnoteReference w:id="75"/>
      </w:r>
      <w:r w:rsidRPr="006854E2">
        <w:rPr>
          <w:rFonts w:eastAsia="Verdana"/>
          <w:color w:val="000000"/>
          <w:u w:color="000000"/>
          <w:bdr w:val="nil"/>
          <w:lang w:val="en-US" w:eastAsia="fr-CH"/>
        </w:rPr>
        <w:t xml:space="preserve"> as well as of the positions adopted by </w:t>
      </w:r>
      <w:r w:rsidRPr="006854E2">
        <w:rPr>
          <w:rFonts w:eastAsia="Malgun Gothic"/>
          <w:lang w:eastAsia="fr-FR"/>
        </w:rPr>
        <w:t>other</w:t>
      </w:r>
      <w:r w:rsidRPr="006854E2">
        <w:rPr>
          <w:rFonts w:eastAsia="Verdana"/>
          <w:color w:val="000000"/>
          <w:u w:color="000000"/>
          <w:bdr w:val="nil"/>
          <w:lang w:val="en-US" w:eastAsia="fr-CH"/>
        </w:rPr>
        <w:t xml:space="preserve"> human rights treaty bodies.</w:t>
      </w:r>
      <w:r w:rsidRPr="006854E2">
        <w:rPr>
          <w:rFonts w:eastAsia="Verdana"/>
          <w:color w:val="000000"/>
          <w:sz w:val="18"/>
          <w:u w:color="000000"/>
          <w:bdr w:val="nil"/>
          <w:vertAlign w:val="superscript"/>
          <w:lang w:val="en-US" w:eastAsia="fr-CH"/>
        </w:rPr>
        <w:footnoteReference w:id="76"/>
      </w:r>
      <w:r w:rsidRPr="006854E2">
        <w:rPr>
          <w:rFonts w:eastAsia="Verdana"/>
          <w:color w:val="000000"/>
          <w:u w:color="000000"/>
          <w:bdr w:val="nil"/>
          <w:lang w:val="en-US" w:eastAsia="fr-CH"/>
        </w:rPr>
        <w:t xml:space="preserve"> </w:t>
      </w:r>
    </w:p>
    <w:p w:rsidR="006854E2" w:rsidRPr="006854E2" w:rsidRDefault="006854E2" w:rsidP="00BA7C63">
      <w:pPr>
        <w:pStyle w:val="H23G"/>
        <w:rPr>
          <w:rFonts w:eastAsia="Malgun Gothic"/>
          <w:u w:color="000000"/>
          <w:bdr w:val="nil"/>
          <w:lang w:val="en-US" w:eastAsia="fr-CH"/>
        </w:rPr>
      </w:pPr>
      <w:r w:rsidRPr="006854E2">
        <w:rPr>
          <w:rFonts w:eastAsia="Malgun Gothic"/>
          <w:u w:color="000000"/>
          <w:bdr w:val="nil"/>
          <w:lang w:val="en-US" w:eastAsia="fr-CH"/>
        </w:rPr>
        <w:tab/>
      </w:r>
      <w:r w:rsidRPr="006854E2">
        <w:rPr>
          <w:rFonts w:eastAsia="Malgun Gothic"/>
          <w:u w:color="000000"/>
          <w:bdr w:val="nil"/>
          <w:lang w:val="en-US" w:eastAsia="fr-CH"/>
        </w:rPr>
        <w:tab/>
        <w:t>Extraterritorial obligation to respect</w:t>
      </w:r>
    </w:p>
    <w:p w:rsidR="006854E2" w:rsidRPr="006854E2" w:rsidRDefault="006854E2" w:rsidP="00BA7C63">
      <w:pPr>
        <w:numPr>
          <w:ilvl w:val="0"/>
          <w:numId w:val="12"/>
        </w:numPr>
        <w:spacing w:after="120"/>
        <w:ind w:left="1134" w:right="1134" w:firstLine="0"/>
        <w:jc w:val="both"/>
        <w:rPr>
          <w:rFonts w:eastAsia="Helvetica"/>
          <w:color w:val="000000"/>
          <w:u w:color="000000"/>
          <w:bdr w:val="nil"/>
          <w:lang w:val="en-US" w:eastAsia="fr-CH"/>
        </w:rPr>
      </w:pPr>
      <w:r w:rsidRPr="006854E2">
        <w:rPr>
          <w:rFonts w:eastAsia="Helvetica"/>
          <w:color w:val="000000"/>
          <w:u w:color="000000"/>
          <w:bdr w:val="nil"/>
          <w:lang w:val="en-US" w:eastAsia="fr-CH"/>
        </w:rPr>
        <w:t>The extraterritorial obligation to respect requires States Parties to refrain</w:t>
      </w:r>
      <w:r w:rsidRPr="006854E2">
        <w:rPr>
          <w:rFonts w:eastAsia="Verdana"/>
          <w:color w:val="000000"/>
          <w:u w:color="000000"/>
          <w:bdr w:val="nil"/>
          <w:lang w:val="en-US" w:eastAsia="fr-CH"/>
        </w:rPr>
        <w:t xml:space="preserve"> from interfering </w:t>
      </w:r>
      <w:r w:rsidRPr="006854E2">
        <w:rPr>
          <w:rFonts w:eastAsia="Malgun Gothic"/>
          <w:lang w:eastAsia="fr-FR"/>
        </w:rPr>
        <w:t>directly</w:t>
      </w:r>
      <w:r w:rsidRPr="006854E2">
        <w:rPr>
          <w:rFonts w:eastAsia="Verdana"/>
          <w:color w:val="000000"/>
          <w:u w:color="000000"/>
          <w:bdr w:val="nil"/>
          <w:lang w:val="en-US" w:eastAsia="fr-CH"/>
        </w:rPr>
        <w:t xml:space="preserve"> or indirectly with the enjoyment of the Covenant rights by persons outside their territories. As part of this obligation States Parties must ensure that they do not obstruct another State from complying with its obligations under the Covenant.</w:t>
      </w:r>
      <w:r w:rsidRPr="006854E2">
        <w:rPr>
          <w:rFonts w:eastAsia="Verdana"/>
          <w:color w:val="000000"/>
          <w:sz w:val="18"/>
          <w:u w:color="000000"/>
          <w:bdr w:val="nil"/>
          <w:vertAlign w:val="superscript"/>
          <w:lang w:val="en-US" w:eastAsia="fr-CH"/>
        </w:rPr>
        <w:footnoteReference w:id="77"/>
      </w:r>
      <w:r w:rsidRPr="006854E2">
        <w:rPr>
          <w:rFonts w:eastAsia="Verdana"/>
          <w:color w:val="000000"/>
          <w:u w:color="000000"/>
          <w:bdr w:val="nil"/>
          <w:lang w:val="en-US" w:eastAsia="fr-CH"/>
        </w:rPr>
        <w:t xml:space="preserve"> This duty is particularly relevant to the negotiation and conclusion of trade and investment agreements or of financial and tax treaties,</w:t>
      </w:r>
      <w:r w:rsidRPr="006854E2">
        <w:rPr>
          <w:rFonts w:eastAsia="Verdana"/>
          <w:color w:val="000000"/>
          <w:u w:color="000000"/>
          <w:bdr w:val="nil"/>
          <w:shd w:val="clear" w:color="auto" w:fill="FEFEFE"/>
          <w:vertAlign w:val="superscript"/>
          <w:lang w:val="en-US" w:eastAsia="fr-CH"/>
        </w:rPr>
        <w:footnoteReference w:id="78"/>
      </w:r>
      <w:r w:rsidRPr="006854E2">
        <w:rPr>
          <w:rFonts w:eastAsia="Verdana"/>
          <w:color w:val="000000"/>
          <w:u w:color="000000"/>
          <w:bdr w:val="nil"/>
          <w:lang w:val="en-US" w:eastAsia="fr-CH"/>
        </w:rPr>
        <w:t xml:space="preserve"> as well as to judicial cooperation.</w:t>
      </w:r>
    </w:p>
    <w:p w:rsidR="006854E2" w:rsidRPr="006854E2" w:rsidRDefault="00BA7C63" w:rsidP="00BA7C63">
      <w:pPr>
        <w:pStyle w:val="H23G"/>
        <w:rPr>
          <w:rFonts w:eastAsia="Verdana"/>
          <w:u w:color="000000"/>
          <w:bdr w:val="nil"/>
          <w:lang w:val="en-US" w:eastAsia="fr-CH"/>
        </w:rPr>
      </w:pPr>
      <w:r>
        <w:rPr>
          <w:rFonts w:eastAsia="Verdana"/>
          <w:u w:color="000000"/>
          <w:bdr w:val="nil"/>
          <w:lang w:val="en-US" w:eastAsia="fr-CH"/>
        </w:rPr>
        <w:tab/>
      </w:r>
      <w:r>
        <w:rPr>
          <w:rFonts w:eastAsia="Verdana"/>
          <w:u w:color="000000"/>
          <w:bdr w:val="nil"/>
          <w:lang w:val="en-US" w:eastAsia="fr-CH"/>
        </w:rPr>
        <w:tab/>
      </w:r>
      <w:r w:rsidR="006854E2" w:rsidRPr="006854E2">
        <w:rPr>
          <w:rFonts w:eastAsia="Verdana"/>
          <w:u w:color="000000"/>
          <w:bdr w:val="nil"/>
          <w:lang w:val="en-US" w:eastAsia="fr-CH"/>
        </w:rPr>
        <w:t>Extraterritorial obligation to protect</w:t>
      </w:r>
    </w:p>
    <w:p w:rsidR="006854E2" w:rsidRPr="006854E2" w:rsidRDefault="006854E2" w:rsidP="00BA7C63">
      <w:pPr>
        <w:numPr>
          <w:ilvl w:val="0"/>
          <w:numId w:val="12"/>
        </w:numPr>
        <w:spacing w:after="120"/>
        <w:ind w:left="1134" w:right="1134" w:firstLine="0"/>
        <w:jc w:val="both"/>
        <w:rPr>
          <w:rFonts w:eastAsia="Helvetica"/>
          <w:color w:val="000000"/>
          <w:u w:color="000000"/>
          <w:bdr w:val="nil"/>
          <w:lang w:val="en-US" w:eastAsia="fr-CH"/>
        </w:rPr>
      </w:pPr>
      <w:r w:rsidRPr="006854E2">
        <w:rPr>
          <w:rFonts w:eastAsia="Helvetica"/>
          <w:color w:val="000000"/>
          <w:u w:color="000000"/>
          <w:bdr w:val="nil"/>
          <w:lang w:val="en-US" w:eastAsia="fr-CH"/>
        </w:rPr>
        <w:t xml:space="preserve">The extraterritorial obligation to protect requires </w:t>
      </w:r>
      <w:r w:rsidRPr="006854E2">
        <w:rPr>
          <w:rFonts w:eastAsia="Verdana"/>
          <w:color w:val="000000"/>
          <w:u w:color="000000"/>
          <w:bdr w:val="nil"/>
          <w:lang w:val="en-US" w:eastAsia="fr-CH"/>
        </w:rPr>
        <w:t xml:space="preserve">States Parties to take steps to prevent and redress infringements of Covenant rights that occur outside their territories due to the </w:t>
      </w:r>
      <w:r w:rsidRPr="006854E2">
        <w:rPr>
          <w:rFonts w:eastAsia="Malgun Gothic"/>
          <w:lang w:eastAsia="fr-FR"/>
        </w:rPr>
        <w:t>activities</w:t>
      </w:r>
      <w:r w:rsidRPr="006854E2">
        <w:rPr>
          <w:rFonts w:eastAsia="Verdana"/>
          <w:color w:val="000000"/>
          <w:u w:color="000000"/>
          <w:bdr w:val="nil"/>
          <w:lang w:val="en-US" w:eastAsia="fr-CH"/>
        </w:rPr>
        <w:t xml:space="preserve"> of business entities over which they can exercise control, especially in cases where the remedies available to victims before the domestic courts of the State where the harm occurs are unavailable or ineffective. </w:t>
      </w:r>
    </w:p>
    <w:p w:rsidR="006854E2" w:rsidRPr="006854E2" w:rsidRDefault="006854E2" w:rsidP="00BA7C63">
      <w:pPr>
        <w:numPr>
          <w:ilvl w:val="0"/>
          <w:numId w:val="12"/>
        </w:numPr>
        <w:spacing w:after="120"/>
        <w:ind w:left="1134" w:right="1134" w:firstLine="0"/>
        <w:jc w:val="both"/>
        <w:rPr>
          <w:rFonts w:eastAsia="Verdana"/>
          <w:b/>
          <w:bCs/>
          <w:color w:val="000000"/>
          <w:u w:color="000000"/>
          <w:bdr w:val="nil"/>
          <w:lang w:val="en-US" w:eastAsia="fr-CH"/>
        </w:rPr>
      </w:pPr>
      <w:r w:rsidRPr="006854E2">
        <w:rPr>
          <w:rFonts w:eastAsia="Verdana"/>
          <w:color w:val="000000"/>
          <w:u w:color="000000"/>
          <w:bdr w:val="nil"/>
          <w:lang w:val="en-US" w:eastAsia="fr-CH"/>
        </w:rPr>
        <w:t>This obligation extends to any business entities over which States Parties may exercise control</w:t>
      </w:r>
      <w:r w:rsidRPr="006854E2">
        <w:rPr>
          <w:rFonts w:eastAsia="Helvetica"/>
          <w:color w:val="000000"/>
          <w:u w:color="000000"/>
          <w:bdr w:val="nil"/>
          <w:lang w:eastAsia="fr-CH"/>
        </w:rPr>
        <w:t>, in accordance with the Charter of the United Nations and applicable international law</w:t>
      </w:r>
      <w:r w:rsidRPr="006854E2">
        <w:rPr>
          <w:rFonts w:eastAsia="Verdana"/>
          <w:color w:val="000000"/>
          <w:u w:color="000000"/>
          <w:bdr w:val="nil"/>
          <w:lang w:val="en-US" w:eastAsia="fr-CH"/>
        </w:rPr>
        <w:t>.</w:t>
      </w:r>
      <w:r w:rsidRPr="006854E2">
        <w:rPr>
          <w:rFonts w:eastAsia="Verdana"/>
          <w:color w:val="000000"/>
          <w:u w:color="000000"/>
          <w:bdr w:val="nil"/>
          <w:vertAlign w:val="superscript"/>
          <w:lang w:val="en-US" w:eastAsia="fr-CH"/>
        </w:rPr>
        <w:footnoteReference w:id="79"/>
      </w:r>
      <w:r w:rsidRPr="006854E2">
        <w:rPr>
          <w:rFonts w:eastAsia="Verdana"/>
          <w:color w:val="000000"/>
          <w:u w:color="000000"/>
          <w:bdr w:val="nil"/>
          <w:lang w:val="en-US" w:eastAsia="fr-CH"/>
        </w:rPr>
        <w:t xml:space="preserve"> Consistent with the admissible scope of jurisdiction under general international law, </w:t>
      </w:r>
      <w:r w:rsidRPr="006854E2">
        <w:rPr>
          <w:rFonts w:eastAsia="Malgun Gothic"/>
          <w:lang w:eastAsia="fr-FR"/>
        </w:rPr>
        <w:t>States</w:t>
      </w:r>
      <w:r w:rsidRPr="006854E2">
        <w:rPr>
          <w:rFonts w:eastAsia="Verdana"/>
          <w:color w:val="000000"/>
          <w:u w:color="000000"/>
          <w:bdr w:val="nil"/>
          <w:lang w:val="en-US" w:eastAsia="fr-CH"/>
        </w:rPr>
        <w:t xml:space="preserve"> may seek to regulate corporations that are domiciled in their territory and/or jurisdiction: this includes corporations incorporated under their laws, or which have their statutory seat, central administration or principal place of business on their national territory.</w:t>
      </w:r>
      <w:r w:rsidRPr="006854E2">
        <w:rPr>
          <w:rFonts w:eastAsia="Verdana"/>
          <w:color w:val="000000"/>
          <w:sz w:val="18"/>
          <w:u w:color="000000"/>
          <w:bdr w:val="nil"/>
          <w:vertAlign w:val="superscript"/>
          <w:lang w:val="en-US" w:eastAsia="fr-CH"/>
        </w:rPr>
        <w:footnoteReference w:id="80"/>
      </w:r>
      <w:r w:rsidRPr="006854E2">
        <w:rPr>
          <w:rFonts w:eastAsia="Verdana"/>
          <w:color w:val="000000"/>
          <w:u w:color="000000"/>
          <w:bdr w:val="nil"/>
          <w:lang w:val="en-US" w:eastAsia="fr-CH"/>
        </w:rPr>
        <w:t xml:space="preserve"> States Parties may also utilize incentives short of the direct imposition of obligations, such as provisions in public contracts favoring business entities that have put in place robust and effective human rights due diligence mechanisms, in order to contribute to the protection of economic, social, and cultural rights at home and abroa</w:t>
      </w:r>
      <w:r w:rsidRPr="006854E2">
        <w:rPr>
          <w:rFonts w:eastAsia="Verdana"/>
          <w:bCs/>
          <w:color w:val="000000"/>
          <w:u w:color="000000"/>
          <w:bdr w:val="nil"/>
          <w:lang w:val="en-US" w:eastAsia="fr-CH"/>
        </w:rPr>
        <w:t>d.</w:t>
      </w:r>
    </w:p>
    <w:p w:rsidR="006854E2" w:rsidRPr="006854E2" w:rsidRDefault="006854E2" w:rsidP="00BA7C63">
      <w:pPr>
        <w:numPr>
          <w:ilvl w:val="0"/>
          <w:numId w:val="12"/>
        </w:numPr>
        <w:spacing w:after="120"/>
        <w:ind w:left="1134" w:right="1134" w:firstLine="0"/>
        <w:jc w:val="both"/>
        <w:rPr>
          <w:rFonts w:eastAsia="Verdana"/>
          <w:b/>
          <w:bCs/>
          <w:color w:val="000000"/>
          <w:u w:color="000000"/>
          <w:bdr w:val="nil"/>
          <w:lang w:val="en-US" w:eastAsia="fr-CH"/>
        </w:rPr>
      </w:pPr>
      <w:r w:rsidRPr="006854E2">
        <w:rPr>
          <w:rFonts w:eastAsia="Helvetica" w:cs="Helvetica"/>
          <w:color w:val="000000"/>
          <w:u w:color="000000"/>
          <w:bdr w:val="nil"/>
          <w:lang w:eastAsia="fr-CH"/>
        </w:rPr>
        <w:t xml:space="preserve">Whereas States Parties would not normally be held directly internationally responsible for a </w:t>
      </w:r>
      <w:r w:rsidRPr="006854E2">
        <w:rPr>
          <w:rFonts w:eastAsia="Malgun Gothic"/>
          <w:lang w:eastAsia="fr-FR"/>
        </w:rPr>
        <w:t>violation</w:t>
      </w:r>
      <w:r w:rsidRPr="006854E2">
        <w:rPr>
          <w:rFonts w:eastAsia="Helvetica" w:cs="Helvetica"/>
          <w:color w:val="000000"/>
          <w:u w:color="000000"/>
          <w:bdr w:val="nil"/>
          <w:lang w:eastAsia="fr-CH"/>
        </w:rPr>
        <w:t xml:space="preserve"> of economic, social and cultural rights caused by a private entity’s conduct (except in the three scenarios recalled in paragraph 11 of this General Comment), it would be in breach of its obligations under the Covenant where the violation reveals a failure by the State to take reasonable measures that could have prevented the occurrence of the event. The responsibility of the State can be engaged in such circumstances even if other causes have also contributed to the occurrence of the violation,</w:t>
      </w:r>
      <w:r w:rsidRPr="006854E2">
        <w:rPr>
          <w:rFonts w:eastAsia="Helvetica" w:cs="Helvetica"/>
          <w:color w:val="000000"/>
          <w:sz w:val="18"/>
          <w:u w:color="000000"/>
          <w:bdr w:val="nil"/>
          <w:vertAlign w:val="superscript"/>
          <w:lang w:eastAsia="fr-CH"/>
        </w:rPr>
        <w:footnoteReference w:id="81"/>
      </w:r>
      <w:r w:rsidRPr="006854E2">
        <w:rPr>
          <w:rFonts w:eastAsia="Helvetica" w:cs="Helvetica"/>
          <w:color w:val="000000"/>
          <w:u w:color="000000"/>
          <w:bdr w:val="nil"/>
          <w:lang w:eastAsia="fr-CH"/>
        </w:rPr>
        <w:t xml:space="preserve"> and even if the State had not foreseen that a violation would occur, provided such a violation was reasonably foreseeable.</w:t>
      </w:r>
      <w:r w:rsidRPr="006854E2">
        <w:rPr>
          <w:rFonts w:eastAsia="Helvetica" w:cs="Helvetica"/>
          <w:color w:val="000000"/>
          <w:u w:color="000000"/>
          <w:bdr w:val="nil"/>
          <w:vertAlign w:val="superscript"/>
          <w:lang w:eastAsia="fr-CH"/>
        </w:rPr>
        <w:footnoteReference w:id="82"/>
      </w:r>
      <w:r w:rsidRPr="006854E2">
        <w:rPr>
          <w:rFonts w:eastAsia="Verdana"/>
          <w:color w:val="000000"/>
          <w:u w:color="000000"/>
          <w:bdr w:val="nil"/>
          <w:lang w:val="en-US" w:eastAsia="fr-CH"/>
        </w:rPr>
        <w:t xml:space="preserve"> For instance, considering the well-documented risks associated with the extractive industry, particular due diligence is required with respect to projects in mining and oil development projects.</w:t>
      </w:r>
      <w:r w:rsidRPr="006854E2">
        <w:rPr>
          <w:rFonts w:eastAsia="Verdana"/>
          <w:color w:val="000000"/>
          <w:sz w:val="18"/>
          <w:u w:color="000000"/>
          <w:bdr w:val="nil"/>
          <w:vertAlign w:val="superscript"/>
          <w:lang w:val="en-US" w:eastAsia="fr-CH"/>
        </w:rPr>
        <w:footnoteReference w:id="83"/>
      </w:r>
      <w:r w:rsidRPr="006854E2">
        <w:rPr>
          <w:rFonts w:eastAsia="Verdana"/>
          <w:color w:val="000000"/>
          <w:u w:color="000000"/>
          <w:bdr w:val="nil"/>
          <w:lang w:val="en-US" w:eastAsia="fr-CH"/>
        </w:rPr>
        <w:t xml:space="preserve"> </w:t>
      </w:r>
    </w:p>
    <w:p w:rsidR="006854E2" w:rsidRPr="006854E2" w:rsidRDefault="006854E2" w:rsidP="00BA7C63">
      <w:pPr>
        <w:numPr>
          <w:ilvl w:val="0"/>
          <w:numId w:val="12"/>
        </w:numPr>
        <w:spacing w:after="120"/>
        <w:ind w:left="1134" w:right="1134" w:firstLine="0"/>
        <w:jc w:val="both"/>
        <w:rPr>
          <w:rFonts w:eastAsia="Verdana"/>
          <w:b/>
          <w:bCs/>
          <w:color w:val="000000"/>
          <w:u w:color="000000"/>
          <w:bdr w:val="nil"/>
          <w:lang w:val="en-US" w:eastAsia="fr-CH"/>
        </w:rPr>
      </w:pPr>
      <w:r w:rsidRPr="006854E2">
        <w:rPr>
          <w:rFonts w:eastAsia="Verdana"/>
          <w:color w:val="000000"/>
          <w:u w:color="000000"/>
          <w:bdr w:val="nil"/>
          <w:lang w:val="en-US" w:eastAsia="fr-CH"/>
        </w:rPr>
        <w:t xml:space="preserve">In discharging their duty to protect, States Parties should also require corporations to deploy their best efforts to ensure that entities whose conduct these corporations may </w:t>
      </w:r>
      <w:r w:rsidRPr="006854E2">
        <w:rPr>
          <w:rFonts w:eastAsia="Malgun Gothic"/>
          <w:lang w:eastAsia="fr-FR"/>
        </w:rPr>
        <w:t>influence</w:t>
      </w:r>
      <w:r w:rsidRPr="006854E2">
        <w:rPr>
          <w:rFonts w:eastAsia="Verdana"/>
          <w:color w:val="000000"/>
          <w:u w:color="000000"/>
          <w:bdr w:val="nil"/>
          <w:lang w:val="en-US" w:eastAsia="fr-CH"/>
        </w:rPr>
        <w:t>, such as subsidiaries (including all business entities in which they have invested, whether registered under the State party's laws or under the laws of another State) or business partners (including suppliers, franchisees or sub-contractors) respect Covenant rights. Corporations domiciled in the territory and/or jurisdiction of States Parties should be required to act with due diligence to identify, prevent and address abuses to Covenant rights by such subsidiaries and business partners, wherever they may be located.</w:t>
      </w:r>
      <w:r w:rsidRPr="006854E2">
        <w:rPr>
          <w:rFonts w:eastAsia="Verdana"/>
          <w:color w:val="000000"/>
          <w:sz w:val="18"/>
          <w:u w:color="000000"/>
          <w:bdr w:val="nil"/>
          <w:vertAlign w:val="superscript"/>
          <w:lang w:val="en-US" w:eastAsia="fr-CH"/>
        </w:rPr>
        <w:footnoteReference w:id="84"/>
      </w:r>
      <w:r w:rsidRPr="006854E2">
        <w:rPr>
          <w:rFonts w:eastAsia="Verdana"/>
          <w:color w:val="000000"/>
          <w:u w:color="000000"/>
          <w:bdr w:val="nil"/>
          <w:lang w:val="en-US" w:eastAsia="fr-CH"/>
        </w:rPr>
        <w:t xml:space="preserve"> The Committee underlines that, although the imposition of such due diligence obligations does have impacts on situations located outside these States' national territories since potential violations of Covenant rights in global supply chains or in multinational groups of companies should be prevented or addressed, this does not imply the exercise of extraterritorial jurisdiction by the States concerned. Appropriate monitoring and accountability procedures must be put in place to ensure effective prevention and enforcement. Such procedures may include imposing a duty on companies to report on their policies and procedures to ensure respect for human rights and providing effective means of accountability and redress for abuses to Covenant rights. </w:t>
      </w:r>
    </w:p>
    <w:p w:rsidR="006854E2" w:rsidRPr="006854E2" w:rsidRDefault="006854E2" w:rsidP="00BA7C63">
      <w:pPr>
        <w:numPr>
          <w:ilvl w:val="0"/>
          <w:numId w:val="12"/>
        </w:numPr>
        <w:spacing w:after="120"/>
        <w:ind w:left="1134" w:right="1134" w:firstLine="0"/>
        <w:jc w:val="both"/>
        <w:rPr>
          <w:rFonts w:eastAsia="Verdana"/>
          <w:b/>
          <w:bCs/>
          <w:color w:val="000000"/>
          <w:u w:color="000000"/>
          <w:bdr w:val="nil"/>
          <w:lang w:val="en-US" w:eastAsia="fr-CH"/>
        </w:rPr>
      </w:pPr>
      <w:r w:rsidRPr="006854E2">
        <w:rPr>
          <w:rFonts w:eastAsia="Verdana"/>
          <w:color w:val="000000"/>
          <w:u w:color="000000"/>
          <w:bdr w:val="nil"/>
          <w:lang w:val="en-US" w:eastAsia="fr-CH"/>
        </w:rPr>
        <w:t>In transnational cases, effective accountability and access to remedy requires international cooperation. The Committee refers in this regard to the recommendation included in the report on accountability and access to remedy for victims of business-related human rights abuse prepared by the Office of the High Commissioner for Human Rights at the request of the Human Rights Council</w:t>
      </w:r>
      <w:r w:rsidRPr="006854E2">
        <w:rPr>
          <w:rFonts w:eastAsia="Verdana"/>
          <w:color w:val="000000"/>
          <w:u w:color="000000"/>
          <w:bdr w:val="nil"/>
          <w:vertAlign w:val="superscript"/>
          <w:lang w:val="en-US" w:eastAsia="fr-CH"/>
        </w:rPr>
        <w:footnoteReference w:id="85"/>
      </w:r>
      <w:r w:rsidRPr="006854E2">
        <w:rPr>
          <w:rFonts w:eastAsia="Verdana"/>
          <w:color w:val="000000"/>
          <w:u w:color="000000"/>
          <w:bdr w:val="nil"/>
          <w:lang w:val="en-US" w:eastAsia="fr-CH"/>
        </w:rPr>
        <w:t xml:space="preserve"> that States should "</w:t>
      </w:r>
      <w:r w:rsidRPr="006854E2">
        <w:rPr>
          <w:rFonts w:eastAsia="Malgun Gothic"/>
        </w:rPr>
        <w:t>t</w:t>
      </w:r>
      <w:r w:rsidRPr="006854E2">
        <w:rPr>
          <w:rFonts w:eastAsia="Malgun Gothic"/>
          <w:lang w:eastAsia="fr-FR"/>
        </w:rPr>
        <w:t>ake steps, using the guidance [accompanying that report], to improve the effectiveness of cross-border cooperation between State agencies and judicial bodies, with respect to both public and private law enforcement of domestic legal regimes".</w:t>
      </w:r>
      <w:r w:rsidRPr="006854E2">
        <w:rPr>
          <w:rFonts w:eastAsia="Malgun Gothic"/>
          <w:vertAlign w:val="superscript"/>
          <w:lang w:val="fr-BE" w:eastAsia="fr-FR"/>
        </w:rPr>
        <w:footnoteReference w:id="86"/>
      </w:r>
      <w:r w:rsidRPr="006854E2">
        <w:rPr>
          <w:rFonts w:eastAsia="Malgun Gothic"/>
          <w:lang w:eastAsia="fr-FR"/>
        </w:rPr>
        <w:t xml:space="preserve"> </w:t>
      </w:r>
      <w:r w:rsidRPr="006854E2">
        <w:rPr>
          <w:rFonts w:eastAsia="Verdana"/>
          <w:color w:val="000000"/>
          <w:u w:color="000000"/>
          <w:bdr w:val="nil"/>
          <w:lang w:val="en-US" w:eastAsia="fr-CH"/>
        </w:rPr>
        <w:t xml:space="preserve">The use of direct communication between law enforcement agencies in mutual assistance should be encouraged in order to provide for swifter action, particularly in the prosecution of criminal offences. </w:t>
      </w:r>
    </w:p>
    <w:p w:rsidR="006854E2" w:rsidRPr="006854E2" w:rsidRDefault="006854E2" w:rsidP="00BA7C63">
      <w:pPr>
        <w:numPr>
          <w:ilvl w:val="0"/>
          <w:numId w:val="12"/>
        </w:numPr>
        <w:spacing w:after="120"/>
        <w:ind w:left="1134" w:right="1134" w:firstLine="0"/>
        <w:jc w:val="both"/>
        <w:rPr>
          <w:rFonts w:eastAsia="Verdana"/>
          <w:b/>
          <w:bCs/>
          <w:color w:val="000000"/>
          <w:u w:color="000000"/>
          <w:bdr w:val="nil"/>
          <w:lang w:val="en-US" w:eastAsia="fr-CH"/>
        </w:rPr>
      </w:pPr>
      <w:r w:rsidRPr="006854E2">
        <w:rPr>
          <w:rFonts w:eastAsia="Malgun Gothic"/>
          <w:lang w:eastAsia="fr-FR"/>
        </w:rPr>
        <w:t xml:space="preserve">Improved international cooperation should reduce the risks of positive and negative conflicts of jurisdiction, which may result in legal uncertainty and in forum-shopping by litigants, or in the inability for victims to obtain redress. The Committee welcomes in this regard any efforts at the adoption of international instruments that could strengthen the duty of States to cooperate in order to improve accountability and access to remedies for victims of violations of Covenant rights in transnational cases. Inspiration can be found in this regard in instruments such as the ILO's Maritime Labour Convention, 2006, in force since 2013, </w:t>
      </w:r>
      <w:r w:rsidRPr="006854E2">
        <w:rPr>
          <w:rFonts w:eastAsia="Malgun Gothic"/>
        </w:rPr>
        <w:t>establishing a system of harmonized national legislation and inspections by both Flag States and by Port States upon complaints of seafarers on board ship when it comes into a foreign port; or in ILO Convention (No. 189) on Domestic Workers and ILO Recommendation (No. 201) on Domestic Workers.</w:t>
      </w:r>
    </w:p>
    <w:p w:rsidR="006854E2" w:rsidRPr="006854E2" w:rsidRDefault="00BA7C63" w:rsidP="00BA7C63">
      <w:pPr>
        <w:pStyle w:val="H23G"/>
        <w:rPr>
          <w:rFonts w:eastAsia="Verdana"/>
          <w:u w:color="000000"/>
          <w:bdr w:val="nil"/>
          <w:lang w:val="en-US" w:eastAsia="fr-CH"/>
        </w:rPr>
      </w:pPr>
      <w:r>
        <w:rPr>
          <w:rFonts w:eastAsia="Verdana"/>
          <w:u w:color="000000"/>
          <w:bdr w:val="nil"/>
          <w:lang w:val="en-US" w:eastAsia="fr-CH"/>
        </w:rPr>
        <w:tab/>
      </w:r>
      <w:r>
        <w:rPr>
          <w:rFonts w:eastAsia="Verdana"/>
          <w:u w:color="000000"/>
          <w:bdr w:val="nil"/>
          <w:lang w:val="en-US" w:eastAsia="fr-CH"/>
        </w:rPr>
        <w:tab/>
      </w:r>
      <w:r w:rsidR="006854E2" w:rsidRPr="006854E2">
        <w:rPr>
          <w:rFonts w:eastAsia="Verdana"/>
          <w:u w:color="000000"/>
          <w:bdr w:val="nil"/>
          <w:lang w:val="en-US" w:eastAsia="fr-CH"/>
        </w:rPr>
        <w:t>Extraterritorial obligation to fulfil</w:t>
      </w:r>
    </w:p>
    <w:p w:rsidR="006854E2" w:rsidRPr="006854E2" w:rsidRDefault="006854E2" w:rsidP="00BA7C63">
      <w:pPr>
        <w:numPr>
          <w:ilvl w:val="0"/>
          <w:numId w:val="12"/>
        </w:numPr>
        <w:spacing w:after="120"/>
        <w:ind w:left="1134" w:right="1134" w:firstLine="0"/>
        <w:jc w:val="both"/>
        <w:rPr>
          <w:rFonts w:eastAsia="Verdana"/>
          <w:bCs/>
          <w:color w:val="000000"/>
          <w:u w:color="000000"/>
          <w:bdr w:val="nil"/>
          <w:lang w:val="en-US" w:eastAsia="fr-CH"/>
        </w:rPr>
      </w:pPr>
      <w:r w:rsidRPr="006854E2">
        <w:rPr>
          <w:rFonts w:eastAsia="Verdana"/>
          <w:bCs/>
          <w:color w:val="000000"/>
          <w:u w:color="000000"/>
          <w:bdr w:val="nil"/>
          <w:lang w:val="en-US" w:eastAsia="fr-CH"/>
        </w:rPr>
        <w:t>Article</w:t>
      </w:r>
      <w:r w:rsidRPr="006854E2">
        <w:rPr>
          <w:rFonts w:eastAsia="Verdana"/>
          <w:b/>
          <w:bCs/>
          <w:color w:val="000000"/>
          <w:u w:color="000000"/>
          <w:bdr w:val="nil"/>
          <w:lang w:val="en-US" w:eastAsia="fr-CH"/>
        </w:rPr>
        <w:t xml:space="preserve"> </w:t>
      </w:r>
      <w:r w:rsidRPr="006854E2">
        <w:rPr>
          <w:rFonts w:eastAsia="Verdana"/>
          <w:color w:val="000000"/>
          <w:u w:color="000000"/>
          <w:bdr w:val="nil"/>
          <w:lang w:val="en-US" w:eastAsia="fr-CH"/>
        </w:rPr>
        <w:t xml:space="preserve">2.1 of the Covenant sets out the expectation that States Parties take collective </w:t>
      </w:r>
      <w:r w:rsidRPr="006854E2">
        <w:rPr>
          <w:rFonts w:eastAsia="Malgun Gothic"/>
          <w:lang w:eastAsia="fr-FR"/>
        </w:rPr>
        <w:t>action</w:t>
      </w:r>
      <w:r w:rsidRPr="006854E2">
        <w:rPr>
          <w:rFonts w:eastAsia="Verdana"/>
          <w:color w:val="000000"/>
          <w:u w:color="000000"/>
          <w:bdr w:val="nil"/>
          <w:lang w:val="en-US" w:eastAsia="fr-CH"/>
        </w:rPr>
        <w:t>, including through international cooperation, in order to help fulfil the economic, social and cultural rights of persons outside of their national territories.</w:t>
      </w:r>
      <w:r w:rsidRPr="006854E2">
        <w:rPr>
          <w:rFonts w:eastAsia="Verdana"/>
          <w:color w:val="000000"/>
          <w:u w:color="000000"/>
          <w:bdr w:val="nil"/>
          <w:vertAlign w:val="superscript"/>
          <w:lang w:val="fr-FR" w:eastAsia="fr-CH"/>
        </w:rPr>
        <w:footnoteReference w:id="87"/>
      </w:r>
      <w:r w:rsidRPr="006854E2">
        <w:rPr>
          <w:rFonts w:eastAsia="Verdana"/>
          <w:bCs/>
          <w:color w:val="000000"/>
          <w:u w:color="000000"/>
          <w:bdr w:val="nil"/>
          <w:lang w:val="en-US" w:eastAsia="fr-CH"/>
        </w:rPr>
        <w:t xml:space="preserve"> </w:t>
      </w:r>
    </w:p>
    <w:p w:rsidR="006854E2" w:rsidRPr="006854E2" w:rsidRDefault="006854E2" w:rsidP="00BA7C63">
      <w:pPr>
        <w:numPr>
          <w:ilvl w:val="0"/>
          <w:numId w:val="12"/>
        </w:numPr>
        <w:spacing w:after="120"/>
        <w:ind w:left="1134" w:right="1134" w:firstLine="0"/>
        <w:jc w:val="both"/>
        <w:rPr>
          <w:rFonts w:eastAsia="Verdana"/>
          <w:color w:val="000000"/>
          <w:u w:color="000000"/>
          <w:bdr w:val="nil"/>
          <w:lang w:val="en-US" w:eastAsia="fr-CH"/>
        </w:rPr>
      </w:pPr>
      <w:r w:rsidRPr="006854E2">
        <w:rPr>
          <w:rFonts w:eastAsia="Verdana"/>
          <w:iCs/>
          <w:color w:val="000000"/>
          <w:u w:color="000000"/>
          <w:bdr w:val="nil"/>
          <w:lang w:val="en-US" w:eastAsia="fr-CH"/>
        </w:rPr>
        <w:t>Consistent with article 28 of the Universal Declaration of Human Rights,</w:t>
      </w:r>
      <w:r w:rsidRPr="006854E2">
        <w:rPr>
          <w:rFonts w:eastAsia="Verdana"/>
          <w:iCs/>
          <w:color w:val="000000"/>
          <w:u w:color="000000"/>
          <w:bdr w:val="nil"/>
          <w:vertAlign w:val="superscript"/>
          <w:lang w:val="en-US" w:eastAsia="fr-CH"/>
        </w:rPr>
        <w:footnoteReference w:id="88"/>
      </w:r>
      <w:r w:rsidRPr="006854E2">
        <w:rPr>
          <w:rFonts w:eastAsia="Verdana"/>
          <w:iCs/>
          <w:color w:val="000000"/>
          <w:u w:color="000000"/>
          <w:bdr w:val="nil"/>
          <w:lang w:val="en-US" w:eastAsia="fr-CH"/>
        </w:rPr>
        <w:t xml:space="preserve"> this</w:t>
      </w:r>
      <w:r w:rsidRPr="006854E2">
        <w:rPr>
          <w:rFonts w:eastAsia="Verdana"/>
          <w:color w:val="000000"/>
          <w:u w:color="000000"/>
          <w:bdr w:val="nil"/>
          <w:lang w:val="en-US" w:eastAsia="fr-CH"/>
        </w:rPr>
        <w:t xml:space="preserve"> obligation to fulfil requires States Parties to contribute to creating an international environment that enables the fulfilment of the Covenant rights. To this end, States Parties must take the necessary steps in their legislation and policies, including diplomatic and foreign relations </w:t>
      </w:r>
      <w:r w:rsidRPr="006854E2">
        <w:rPr>
          <w:rFonts w:eastAsia="Malgun Gothic"/>
          <w:lang w:eastAsia="fr-FR"/>
        </w:rPr>
        <w:t>measures</w:t>
      </w:r>
      <w:r w:rsidRPr="006854E2">
        <w:rPr>
          <w:rFonts w:eastAsia="Verdana"/>
          <w:color w:val="000000"/>
          <w:u w:color="000000"/>
          <w:bdr w:val="nil"/>
          <w:lang w:val="en-US" w:eastAsia="fr-CH"/>
        </w:rPr>
        <w:t xml:space="preserve">, to promote and help create such an environment. States Parties should also encourage business actors whose conduct they are in a position to influence to ensure that they do not undermine the efforts of the States in which they operate to fully realize the Covenant rights, for instance by resorting to tax evasion or tax avoidance strategies in the countries concerned. </w:t>
      </w:r>
      <w:r w:rsidRPr="006854E2">
        <w:rPr>
          <w:rFonts w:eastAsia="Malgun Gothic"/>
          <w:lang w:eastAsia="fr-FR"/>
        </w:rPr>
        <w:t>To combat abusive tax practices by transnational corporations, States should combat transfer pricing practices and deepen international tax cooperation, and explore the possibility to tax multinational groups of companies as single firms, with developed countries imposing a minimum corporate income tax rate during a period of transition. </w:t>
      </w:r>
      <w:r w:rsidRPr="006854E2">
        <w:rPr>
          <w:rFonts w:eastAsia="Verdana"/>
          <w:color w:val="000000"/>
          <w:u w:color="000000"/>
          <w:bdr w:val="nil"/>
          <w:lang w:val="en-US" w:eastAsia="fr-CH"/>
        </w:rPr>
        <w:t>Lowering the rates of corporate taxes with a sole view to attracting investors encourages a race to the bottom that ultimately undermines the ability of all States to mobilize resources domestically to realize Covenant rights. As such, this practice is inconsistent with the duties of the States Parties to the Covenant. P</w:t>
      </w:r>
      <w:r w:rsidRPr="006854E2">
        <w:rPr>
          <w:rFonts w:eastAsia="Malgun Gothic"/>
        </w:rPr>
        <w:t>roviding excessive protection to bank secrecy and permissive rules on corporate tax may affect the ability of States where economic activities are taking place to meet their obligation to mobilize the maximum available resources for the implementation of economic, social and cultural rights.</w:t>
      </w:r>
      <w:r w:rsidRPr="006854E2">
        <w:rPr>
          <w:rFonts w:eastAsia="Malgun Gothic"/>
          <w:vertAlign w:val="superscript"/>
        </w:rPr>
        <w:footnoteReference w:id="89"/>
      </w:r>
      <w:r w:rsidRPr="006854E2">
        <w:rPr>
          <w:rFonts w:eastAsia="Malgun Gothic"/>
        </w:rPr>
        <w:t xml:space="preserve"> </w:t>
      </w:r>
    </w:p>
    <w:p w:rsidR="006854E2" w:rsidRPr="006854E2" w:rsidRDefault="006854E2" w:rsidP="00BA7C63">
      <w:pPr>
        <w:pStyle w:val="HChG"/>
        <w:rPr>
          <w:rFonts w:eastAsia="Verdana"/>
          <w:u w:color="000000"/>
          <w:bdr w:val="nil"/>
          <w:lang w:val="en-US" w:eastAsia="fr-CH"/>
        </w:rPr>
      </w:pPr>
      <w:r w:rsidRPr="006854E2">
        <w:rPr>
          <w:rFonts w:eastAsia="Verdana"/>
          <w:u w:color="000000"/>
          <w:bdr w:val="nil"/>
          <w:lang w:val="en-US" w:eastAsia="fr-CH"/>
        </w:rPr>
        <w:tab/>
        <w:t>IV.</w:t>
      </w:r>
      <w:r w:rsidRPr="006854E2">
        <w:rPr>
          <w:rFonts w:eastAsia="Verdana"/>
          <w:u w:color="000000"/>
          <w:bdr w:val="nil"/>
          <w:lang w:val="en-US" w:eastAsia="fr-CH"/>
        </w:rPr>
        <w:tab/>
        <w:t>Remedies</w:t>
      </w:r>
    </w:p>
    <w:p w:rsidR="006854E2" w:rsidRPr="006854E2" w:rsidRDefault="006854E2" w:rsidP="00BA7C63">
      <w:pPr>
        <w:numPr>
          <w:ilvl w:val="0"/>
          <w:numId w:val="12"/>
        </w:numPr>
        <w:spacing w:after="120"/>
        <w:ind w:left="1134" w:right="1134" w:firstLine="0"/>
        <w:jc w:val="both"/>
        <w:rPr>
          <w:rFonts w:eastAsia="Verdana"/>
          <w:color w:val="000000"/>
          <w:u w:color="000000"/>
          <w:bdr w:val="nil"/>
          <w:lang w:val="en-US" w:eastAsia="fr-CH"/>
        </w:rPr>
      </w:pPr>
      <w:r w:rsidRPr="006854E2">
        <w:rPr>
          <w:rFonts w:eastAsia="Verdana"/>
          <w:color w:val="000000"/>
          <w:u w:color="000000"/>
          <w:bdr w:val="nil"/>
          <w:lang w:val="en-US" w:eastAsia="fr-CH"/>
        </w:rPr>
        <w:t xml:space="preserve">In discharging their duty to protect, </w:t>
      </w:r>
      <w:r w:rsidRPr="006854E2">
        <w:rPr>
          <w:rFonts w:eastAsia="Malgun Gothic"/>
          <w:u w:color="000000"/>
          <w:bdr w:val="nil"/>
          <w:shd w:val="clear" w:color="auto" w:fill="FEFEFE"/>
          <w:lang w:val="en-US" w:eastAsia="fr-CH"/>
        </w:rPr>
        <w:t>States Parties should both create appropriate regulatory and policy frameworks and enforce such frameworks.</w:t>
      </w:r>
      <w:r w:rsidRPr="006854E2">
        <w:rPr>
          <w:rFonts w:eastAsia="Malgun Gothic"/>
          <w:u w:color="000000"/>
          <w:bdr w:val="nil"/>
          <w:lang w:val="en-US" w:eastAsia="fr-CH"/>
        </w:rPr>
        <w:t xml:space="preserve"> Therefore, effective </w:t>
      </w:r>
      <w:r w:rsidRPr="006854E2">
        <w:rPr>
          <w:rFonts w:eastAsia="Malgun Gothic"/>
          <w:iCs/>
          <w:u w:color="000000"/>
          <w:bdr w:val="nil"/>
          <w:lang w:val="en-US" w:eastAsia="fr-CH"/>
        </w:rPr>
        <w:t xml:space="preserve">monitoring, investigation and accountability mechanisms must be put in place </w:t>
      </w:r>
      <w:r w:rsidRPr="006854E2">
        <w:rPr>
          <w:rFonts w:eastAsia="Malgun Gothic"/>
          <w:u w:color="000000"/>
          <w:bdr w:val="nil"/>
          <w:shd w:val="clear" w:color="auto" w:fill="FEFEFE"/>
          <w:lang w:val="en-US" w:eastAsia="fr-CH"/>
        </w:rPr>
        <w:t>to ensure accountability and access to remedies, preferably judicial remedies, for those whose Covenant rights have been violated in the context of business activities</w:t>
      </w:r>
      <w:r w:rsidRPr="006854E2">
        <w:rPr>
          <w:rFonts w:eastAsia="Malgun Gothic"/>
          <w:iCs/>
          <w:u w:color="000000"/>
          <w:bdr w:val="nil"/>
          <w:lang w:val="en-US" w:eastAsia="fr-CH"/>
        </w:rPr>
        <w:t xml:space="preserve">. </w:t>
      </w:r>
      <w:r w:rsidRPr="006854E2">
        <w:rPr>
          <w:rFonts w:eastAsia="Malgun Gothic"/>
          <w:u w:color="000000"/>
          <w:bdr w:val="nil"/>
          <w:shd w:val="clear" w:color="auto" w:fill="FEFEFE"/>
          <w:lang w:val="en-US" w:eastAsia="fr-CH"/>
        </w:rPr>
        <w:t>States Parties should inform individuals and groups of their rights and the remedies accessible to them pertaining to the Covenant rights in the context of business activities, ensuring specifically that information and guidance, including human rights impact assessments, are accessible to indigenous peoples.</w:t>
      </w:r>
      <w:r w:rsidRPr="006854E2">
        <w:rPr>
          <w:rFonts w:eastAsia="Verdana"/>
          <w:color w:val="000000"/>
          <w:sz w:val="18"/>
          <w:u w:color="000000"/>
          <w:bdr w:val="nil"/>
          <w:shd w:val="clear" w:color="auto" w:fill="FEFEFE"/>
          <w:vertAlign w:val="superscript"/>
          <w:lang w:val="en-US" w:eastAsia="fr-CH"/>
        </w:rPr>
        <w:footnoteReference w:id="90"/>
      </w:r>
      <w:r w:rsidRPr="006854E2">
        <w:rPr>
          <w:rFonts w:eastAsia="Malgun Gothic"/>
          <w:u w:color="000000"/>
          <w:bdr w:val="nil"/>
          <w:shd w:val="clear" w:color="auto" w:fill="FEFEFE"/>
          <w:lang w:val="en-US" w:eastAsia="fr-CH"/>
        </w:rPr>
        <w:t xml:space="preserve"> They also should provide businesses with relevant information, training and support, ensuring that they are made aware of the duties of the State under the Covenant.</w:t>
      </w:r>
      <w:r w:rsidRPr="006854E2">
        <w:rPr>
          <w:rFonts w:eastAsia="Malgun Gothic"/>
          <w:u w:color="000000"/>
          <w:bdr w:val="nil"/>
          <w:shd w:val="clear" w:color="auto" w:fill="FEFEFE"/>
          <w:vertAlign w:val="superscript"/>
          <w:lang w:val="fr-FR" w:eastAsia="fr-CH"/>
        </w:rPr>
        <w:footnoteReference w:id="91"/>
      </w:r>
    </w:p>
    <w:p w:rsidR="006854E2" w:rsidRPr="006854E2" w:rsidRDefault="006854E2" w:rsidP="00BA7C63">
      <w:pPr>
        <w:pStyle w:val="H1G"/>
        <w:rPr>
          <w:rFonts w:eastAsia="Verdana"/>
          <w:u w:color="000000"/>
          <w:bdr w:val="nil"/>
          <w:lang w:val="en-US" w:eastAsia="fr-CH"/>
        </w:rPr>
      </w:pPr>
      <w:r w:rsidRPr="006854E2">
        <w:rPr>
          <w:rFonts w:eastAsia="Malgun Gothic"/>
          <w:u w:color="000000"/>
          <w:bdr w:val="nil"/>
          <w:lang w:val="en-US" w:eastAsia="fr-CH"/>
        </w:rPr>
        <w:tab/>
        <w:t>A.</w:t>
      </w:r>
      <w:r w:rsidRPr="006854E2">
        <w:rPr>
          <w:rFonts w:eastAsia="Malgun Gothic"/>
          <w:u w:color="000000"/>
          <w:bdr w:val="nil"/>
          <w:lang w:val="en-US" w:eastAsia="fr-CH"/>
        </w:rPr>
        <w:tab/>
        <w:t xml:space="preserve">General principles </w:t>
      </w:r>
    </w:p>
    <w:p w:rsidR="006854E2" w:rsidRPr="006854E2" w:rsidRDefault="006854E2" w:rsidP="00BA7C63">
      <w:pPr>
        <w:numPr>
          <w:ilvl w:val="0"/>
          <w:numId w:val="12"/>
        </w:numPr>
        <w:spacing w:after="120"/>
        <w:ind w:left="1134" w:right="1134" w:firstLine="0"/>
        <w:jc w:val="both"/>
        <w:rPr>
          <w:rFonts w:eastAsia="Verdana"/>
          <w:color w:val="000000"/>
          <w:u w:color="000000"/>
          <w:bdr w:val="nil"/>
          <w:lang w:val="en-US" w:eastAsia="fr-CH"/>
        </w:rPr>
      </w:pPr>
      <w:r w:rsidRPr="006854E2">
        <w:rPr>
          <w:rFonts w:eastAsia="Verdana"/>
          <w:color w:val="000000"/>
          <w:u w:color="000000"/>
          <w:bdr w:val="nil"/>
          <w:lang w:val="en-US" w:eastAsia="fr-CH"/>
        </w:rPr>
        <w:t xml:space="preserve">States Parties must provide appropriate means of redress to aggrieved individuals or groups and </w:t>
      </w:r>
      <w:r w:rsidRPr="006854E2">
        <w:rPr>
          <w:rFonts w:eastAsia="Malgun Gothic"/>
          <w:lang w:eastAsia="fr-FR"/>
        </w:rPr>
        <w:t>ensure</w:t>
      </w:r>
      <w:r w:rsidRPr="006854E2">
        <w:rPr>
          <w:rFonts w:eastAsia="Verdana"/>
          <w:color w:val="000000"/>
          <w:u w:color="000000"/>
          <w:bdr w:val="nil"/>
          <w:lang w:val="en-US" w:eastAsia="fr-CH"/>
        </w:rPr>
        <w:t xml:space="preserve"> corporate accountability.</w:t>
      </w:r>
      <w:r w:rsidRPr="006854E2">
        <w:rPr>
          <w:rFonts w:eastAsia="Verdana"/>
          <w:color w:val="000000"/>
          <w:u w:color="000000"/>
          <w:bdr w:val="nil"/>
          <w:vertAlign w:val="superscript"/>
          <w:lang w:val="en-US" w:eastAsia="fr-CH"/>
        </w:rPr>
        <w:footnoteReference w:id="92"/>
      </w:r>
      <w:r w:rsidRPr="006854E2">
        <w:rPr>
          <w:rFonts w:eastAsia="Verdana"/>
          <w:color w:val="000000"/>
          <w:u w:color="000000"/>
          <w:bdr w:val="nil"/>
          <w:vertAlign w:val="superscript"/>
          <w:lang w:val="en-US" w:eastAsia="fr-CH"/>
        </w:rPr>
        <w:t xml:space="preserve"> </w:t>
      </w:r>
      <w:r w:rsidRPr="006854E2">
        <w:rPr>
          <w:rFonts w:eastAsia="Verdana"/>
          <w:color w:val="000000"/>
          <w:u w:color="000000"/>
          <w:bdr w:val="nil"/>
          <w:lang w:val="en-US" w:eastAsia="fr-CH"/>
        </w:rPr>
        <w:t>This should preferably take the form of ensuring access to independent and impartial judicial bodies: the Committee has underlined that “other means [of ensuring accountability] used could be rendered ineffective if they are not reinforced or complemented by judicial remedies”.</w:t>
      </w:r>
      <w:r w:rsidRPr="006854E2">
        <w:rPr>
          <w:rFonts w:eastAsia="Verdana"/>
          <w:color w:val="000000"/>
          <w:u w:color="000000"/>
          <w:bdr w:val="nil"/>
          <w:vertAlign w:val="superscript"/>
          <w:lang w:val="en-US" w:eastAsia="fr-CH"/>
        </w:rPr>
        <w:footnoteReference w:id="93"/>
      </w:r>
    </w:p>
    <w:p w:rsidR="006854E2" w:rsidRPr="006854E2" w:rsidRDefault="006854E2" w:rsidP="00BA7C63">
      <w:pPr>
        <w:numPr>
          <w:ilvl w:val="0"/>
          <w:numId w:val="12"/>
        </w:numPr>
        <w:spacing w:after="120"/>
        <w:ind w:left="1134" w:right="1134" w:firstLine="0"/>
        <w:jc w:val="both"/>
        <w:rPr>
          <w:rFonts w:eastAsia="Verdana"/>
          <w:color w:val="000000"/>
          <w:u w:color="000000"/>
          <w:bdr w:val="nil"/>
          <w:lang w:val="en-US" w:eastAsia="fr-CH"/>
        </w:rPr>
      </w:pPr>
      <w:r w:rsidRPr="006854E2">
        <w:rPr>
          <w:rFonts w:eastAsia="Verdana"/>
          <w:color w:val="000000"/>
          <w:u w:color="000000"/>
          <w:bdr w:val="nil"/>
          <w:lang w:val="en-US" w:eastAsia="fr-CH"/>
        </w:rPr>
        <w:t>The Guidelines on remedies for victims of gross violations of international human rights law and serious violations of international humanitarian law</w:t>
      </w:r>
      <w:r w:rsidRPr="006854E2">
        <w:rPr>
          <w:rFonts w:eastAsia="Verdana"/>
          <w:color w:val="000000"/>
          <w:u w:color="000000"/>
          <w:bdr w:val="nil"/>
          <w:vertAlign w:val="superscript"/>
          <w:lang w:val="en-US" w:eastAsia="fr-CH"/>
        </w:rPr>
        <w:footnoteReference w:id="94"/>
      </w:r>
      <w:r w:rsidRPr="006854E2">
        <w:rPr>
          <w:rFonts w:eastAsia="Verdana"/>
          <w:color w:val="000000"/>
          <w:u w:color="000000"/>
          <w:bdr w:val="nil"/>
          <w:lang w:val="en-US" w:eastAsia="fr-CH"/>
        </w:rPr>
        <w:t xml:space="preserve"> provide useful indications as to the obligations that follow for States from the general obligation to provide access to effective remedies. In particular, States should: take all measures necessary to prevent rights violations; where such preventative measures fail, thoroughly investigate violations and </w:t>
      </w:r>
      <w:r w:rsidRPr="006854E2">
        <w:rPr>
          <w:rFonts w:eastAsia="Malgun Gothic"/>
          <w:lang w:eastAsia="fr-FR"/>
        </w:rPr>
        <w:t>take</w:t>
      </w:r>
      <w:r w:rsidRPr="006854E2">
        <w:rPr>
          <w:rFonts w:eastAsia="Verdana"/>
          <w:color w:val="000000"/>
          <w:u w:color="000000"/>
          <w:bdr w:val="nil"/>
          <w:lang w:val="en-US" w:eastAsia="fr-CH"/>
        </w:rPr>
        <w:t xml:space="preserve"> appropriate actions against alleged offenders; provide victims with effective access to justice “irrespective of who may ultimately be the bearer of responsibility for the violation”; and provide effective remedies to victims, including reparation. </w:t>
      </w:r>
    </w:p>
    <w:p w:rsidR="006854E2" w:rsidRPr="006854E2" w:rsidRDefault="006854E2" w:rsidP="00BA7C63">
      <w:pPr>
        <w:numPr>
          <w:ilvl w:val="0"/>
          <w:numId w:val="12"/>
        </w:numPr>
        <w:spacing w:after="120"/>
        <w:ind w:left="1134" w:right="1134" w:firstLine="0"/>
        <w:jc w:val="both"/>
        <w:rPr>
          <w:rFonts w:eastAsia="Verdana"/>
          <w:color w:val="000000"/>
          <w:u w:color="000000"/>
          <w:bdr w:val="nil"/>
          <w:lang w:val="en-US" w:eastAsia="fr-CH"/>
        </w:rPr>
      </w:pPr>
      <w:r w:rsidRPr="006854E2">
        <w:rPr>
          <w:rFonts w:eastAsia="Verdana"/>
          <w:color w:val="000000"/>
          <w:u w:color="000000"/>
          <w:bdr w:val="nil"/>
          <w:lang w:val="en-US" w:eastAsia="fr-CH"/>
        </w:rPr>
        <w:t xml:space="preserve">It is imperative for the full realization of the Covenant rights that remedies be available, effective and expeditious. This requires that victims seeking redress must have prompt access </w:t>
      </w:r>
      <w:r w:rsidRPr="006854E2">
        <w:rPr>
          <w:rFonts w:eastAsia="Malgun Gothic"/>
          <w:lang w:eastAsia="fr-FR"/>
        </w:rPr>
        <w:t>to</w:t>
      </w:r>
      <w:r w:rsidRPr="006854E2">
        <w:rPr>
          <w:rFonts w:eastAsia="Verdana"/>
          <w:color w:val="000000"/>
          <w:u w:color="000000"/>
          <w:bdr w:val="nil"/>
          <w:lang w:val="en-US" w:eastAsia="fr-CH"/>
        </w:rPr>
        <w:t xml:space="preserve"> an independent public authority, which must have the power to determine whether a violation has taken place and to order cessation of the violation and reparation to redress the harm done. Reparation can be in the form of restitution, compensation, rehabilitation, satisfaction, and guarantee of non-repetition,</w:t>
      </w:r>
      <w:r w:rsidRPr="006854E2">
        <w:rPr>
          <w:rFonts w:eastAsia="Verdana"/>
          <w:color w:val="000000"/>
          <w:u w:color="000000"/>
          <w:bdr w:val="nil"/>
          <w:vertAlign w:val="superscript"/>
          <w:lang w:val="en-US" w:eastAsia="fr-CH"/>
        </w:rPr>
        <w:footnoteReference w:id="95"/>
      </w:r>
      <w:r w:rsidRPr="006854E2">
        <w:rPr>
          <w:rFonts w:eastAsia="Verdana"/>
          <w:color w:val="000000"/>
          <w:u w:color="000000"/>
          <w:bdr w:val="nil"/>
          <w:lang w:val="en-US" w:eastAsia="fr-CH"/>
        </w:rPr>
        <w:t xml:space="preserve"> and must take the views of those affected into account. To ensure non-repetition, an effective remedy may require improving legislation and policies, which have proven ineffective to prevent the abuses. </w:t>
      </w:r>
    </w:p>
    <w:p w:rsidR="006854E2" w:rsidRPr="006854E2" w:rsidRDefault="006854E2" w:rsidP="00BA7C63">
      <w:pPr>
        <w:numPr>
          <w:ilvl w:val="0"/>
          <w:numId w:val="12"/>
        </w:numPr>
        <w:spacing w:after="120"/>
        <w:ind w:left="1134" w:right="1134" w:firstLine="0"/>
        <w:jc w:val="both"/>
        <w:rPr>
          <w:rFonts w:eastAsia="Verdana"/>
          <w:color w:val="000000"/>
          <w:u w:color="000000"/>
          <w:bdr w:val="nil"/>
          <w:lang w:val="en-US" w:eastAsia="fr-CH"/>
        </w:rPr>
      </w:pPr>
      <w:r w:rsidRPr="006854E2">
        <w:rPr>
          <w:rFonts w:eastAsia="Verdana"/>
          <w:color w:val="000000"/>
          <w:u w:color="000000"/>
          <w:bdr w:val="nil"/>
          <w:lang w:val="en-US" w:eastAsia="fr-CH"/>
        </w:rPr>
        <w:t xml:space="preserve">Because of how corporate groups are organized, business entities routinely escape liability by hiding behind the so-called corporate veil, as the parent company seeks to avoid liability for the acts of the subsidiary even when it would have been in a position to influence its conduct. Other barriers to effective access to remedies for victims of human rights violations by business entities include the difficulty of accessing information and evidence to substantiate claims, much of which is often in the hands of the corporate defendant; the </w:t>
      </w:r>
      <w:r w:rsidRPr="006854E2">
        <w:rPr>
          <w:rFonts w:eastAsia="Malgun Gothic"/>
          <w:lang w:eastAsia="fr-FR"/>
        </w:rPr>
        <w:t>unavailability</w:t>
      </w:r>
      <w:r w:rsidRPr="006854E2">
        <w:rPr>
          <w:rFonts w:eastAsia="Verdana"/>
          <w:color w:val="000000"/>
          <w:u w:color="000000"/>
          <w:bdr w:val="nil"/>
          <w:lang w:val="en-US" w:eastAsia="fr-CH"/>
        </w:rPr>
        <w:t xml:space="preserve"> of collective redress mechanisms where violations are widespread and diffuse; and the lack of legal aid and other funding arrangements to make claims financially viable. </w:t>
      </w:r>
    </w:p>
    <w:p w:rsidR="006854E2" w:rsidRPr="006854E2" w:rsidRDefault="006854E2" w:rsidP="00BA7C63">
      <w:pPr>
        <w:numPr>
          <w:ilvl w:val="0"/>
          <w:numId w:val="12"/>
        </w:numPr>
        <w:spacing w:after="120"/>
        <w:ind w:left="1134" w:right="1134" w:firstLine="0"/>
        <w:jc w:val="both"/>
        <w:rPr>
          <w:rFonts w:eastAsia="Verdana"/>
          <w:color w:val="000000"/>
          <w:u w:color="000000"/>
          <w:bdr w:val="nil"/>
          <w:lang w:val="en-US" w:eastAsia="fr-CH"/>
        </w:rPr>
      </w:pPr>
      <w:r w:rsidRPr="006854E2">
        <w:rPr>
          <w:rFonts w:eastAsia="Verdana"/>
          <w:color w:val="000000"/>
          <w:u w:color="000000"/>
          <w:bdr w:val="nil"/>
          <w:lang w:val="en-US" w:eastAsia="fr-CH"/>
        </w:rPr>
        <w:t xml:space="preserve">Victims of transnational corporate abuses face specific obstacles in having access to effective remedies. In addition to the difficulty of proving the damages or establishing the causal </w:t>
      </w:r>
      <w:r w:rsidRPr="006854E2">
        <w:rPr>
          <w:rFonts w:eastAsia="Malgun Gothic"/>
          <w:lang w:eastAsia="fr-FR"/>
        </w:rPr>
        <w:t>link</w:t>
      </w:r>
      <w:r w:rsidRPr="006854E2">
        <w:rPr>
          <w:rFonts w:eastAsia="Verdana"/>
          <w:color w:val="000000"/>
          <w:u w:color="000000"/>
          <w:bdr w:val="nil"/>
          <w:lang w:val="en-US" w:eastAsia="fr-CH"/>
        </w:rPr>
        <w:t xml:space="preserve"> between the conduct of the defendant corporation located in one jurisdiction and the resulting violation in another, transnational litigation is often prohibitively expensive and time-consuming; and in the absence of strong mechanisms for mutual legal assistance, the collection of evidence and the execution in one State of judgments delivered in another State present specific challenges. In some jurisdictions, the </w:t>
      </w:r>
      <w:r w:rsidRPr="006854E2">
        <w:rPr>
          <w:rFonts w:eastAsia="Verdana"/>
          <w:i/>
          <w:color w:val="000000"/>
          <w:u w:color="000000"/>
          <w:bdr w:val="nil"/>
          <w:lang w:val="en-US" w:eastAsia="fr-CH"/>
        </w:rPr>
        <w:t>forum non conveniens</w:t>
      </w:r>
      <w:r w:rsidRPr="006854E2">
        <w:rPr>
          <w:rFonts w:eastAsia="Verdana"/>
          <w:color w:val="000000"/>
          <w:u w:color="000000"/>
          <w:bdr w:val="nil"/>
          <w:lang w:val="en-US" w:eastAsia="fr-CH"/>
        </w:rPr>
        <w:t xml:space="preserve"> doctrine, according to which a court may decline to exercise jurisdiction if another forum is available to victims, may in effect constitute a barrier to the ability of victims residing in one State to seek redress before the courts of the State where the defendant business is domiciled. Practice shows that claims are often dismissed under this doctrine in favor of another jurisdiction without necessarily ensuring that victims have access to effective remedies in the alternative jurisdiction.  </w:t>
      </w:r>
    </w:p>
    <w:p w:rsidR="006854E2" w:rsidRPr="006854E2" w:rsidRDefault="006854E2" w:rsidP="00BA7C63">
      <w:pPr>
        <w:numPr>
          <w:ilvl w:val="0"/>
          <w:numId w:val="12"/>
        </w:numPr>
        <w:spacing w:after="120"/>
        <w:ind w:left="1134" w:right="1134" w:firstLine="0"/>
        <w:jc w:val="both"/>
        <w:rPr>
          <w:rFonts w:eastAsia="Verdana"/>
          <w:color w:val="000000"/>
          <w:u w:color="000000"/>
          <w:bdr w:val="nil"/>
          <w:lang w:val="en-US" w:eastAsia="fr-CH"/>
        </w:rPr>
      </w:pPr>
      <w:r w:rsidRPr="006854E2">
        <w:rPr>
          <w:rFonts w:eastAsia="Verdana"/>
          <w:color w:val="000000"/>
          <w:u w:color="000000"/>
          <w:bdr w:val="nil"/>
          <w:lang w:val="en-US" w:eastAsia="fr-CH"/>
        </w:rPr>
        <w:t xml:space="preserve">States Parties have the duty to take necessary steps to address these challenges in order to </w:t>
      </w:r>
      <w:r w:rsidRPr="006854E2">
        <w:rPr>
          <w:rFonts w:eastAsia="Malgun Gothic"/>
          <w:lang w:eastAsia="fr-FR"/>
        </w:rPr>
        <w:t>prevent</w:t>
      </w:r>
      <w:r w:rsidRPr="006854E2">
        <w:rPr>
          <w:rFonts w:eastAsia="Verdana"/>
          <w:color w:val="000000"/>
          <w:u w:color="000000"/>
          <w:bdr w:val="nil"/>
          <w:lang w:val="en-US" w:eastAsia="fr-CH"/>
        </w:rPr>
        <w:t xml:space="preserve"> a denial of justice and ensure the right to effective remedy and reparation. This requires States Parties to remove substantive, procedural and practical barriers to remedies, including by establishing parent company or group liability regimes, providing legal aid and other funding schemes to claimants, enabling human rights-related class actions and public interest litigation, facilitating access to relevant information and the collection of evidence abroad, including witness testimony, and allowing such evidence to be presented in judicial proceedings. The extent to which an effective remedy is available and realistic in the alternative jurisdiction should be an overriding consideration in judicial decisions relying on </w:t>
      </w:r>
      <w:r w:rsidRPr="006854E2">
        <w:rPr>
          <w:rFonts w:eastAsia="Verdana"/>
          <w:i/>
          <w:color w:val="000000"/>
          <w:u w:color="000000"/>
          <w:bdr w:val="nil"/>
          <w:lang w:val="en-US" w:eastAsia="fr-CH"/>
        </w:rPr>
        <w:t>forum non conveniens</w:t>
      </w:r>
      <w:r w:rsidRPr="006854E2">
        <w:rPr>
          <w:rFonts w:eastAsia="Verdana"/>
          <w:color w:val="000000"/>
          <w:u w:color="000000"/>
          <w:bdr w:val="nil"/>
          <w:lang w:val="en-US" w:eastAsia="fr-CH"/>
        </w:rPr>
        <w:t xml:space="preserve"> considerations.</w:t>
      </w:r>
      <w:r w:rsidRPr="006854E2">
        <w:rPr>
          <w:rFonts w:eastAsia="Verdana"/>
          <w:color w:val="000000"/>
          <w:sz w:val="18"/>
          <w:u w:color="000000"/>
          <w:bdr w:val="nil"/>
          <w:vertAlign w:val="superscript"/>
          <w:lang w:val="en-US" w:eastAsia="fr-CH"/>
        </w:rPr>
        <w:footnoteReference w:id="96"/>
      </w:r>
      <w:r w:rsidRPr="006854E2">
        <w:rPr>
          <w:rFonts w:eastAsia="Verdana"/>
          <w:color w:val="000000"/>
          <w:u w:color="000000"/>
          <w:bdr w:val="nil"/>
          <w:lang w:val="en-US" w:eastAsia="fr-CH"/>
        </w:rPr>
        <w:t xml:space="preserve"> The introduction by corporations of actions to discourage individuals or groups from exercising remedies, for instance by alleging damage to the corporations' reputation, should not be abused to create a chilling effect on the legitimate exercise of such remedies. </w:t>
      </w:r>
    </w:p>
    <w:p w:rsidR="006854E2" w:rsidRPr="006854E2" w:rsidRDefault="006854E2" w:rsidP="00BA7C63">
      <w:pPr>
        <w:numPr>
          <w:ilvl w:val="0"/>
          <w:numId w:val="12"/>
        </w:numPr>
        <w:spacing w:after="120"/>
        <w:ind w:left="1134" w:right="1134" w:firstLine="0"/>
        <w:jc w:val="both"/>
        <w:rPr>
          <w:rFonts w:eastAsia="Verdana"/>
          <w:color w:val="000000"/>
          <w:u w:color="000000"/>
          <w:bdr w:val="nil"/>
          <w:lang w:val="en-US" w:eastAsia="fr-CH"/>
        </w:rPr>
      </w:pPr>
      <w:r w:rsidRPr="006854E2">
        <w:rPr>
          <w:rFonts w:eastAsia="Verdana"/>
          <w:color w:val="000000"/>
          <w:u w:color="000000"/>
          <w:bdr w:val="nil"/>
          <w:lang w:val="en-US" w:eastAsia="fr-CH"/>
        </w:rPr>
        <w:t>States Parties should facilitate access to relevant information through mandatory disclosure laws and by introducing procedural rules allowing victims to obtain the disclosure of evidence detained by the defendant. Shifting the burden of proof may be justified where the facts and events relevant for resolving a claim lie wholly or in part within the exclusive knowledge of the corporate defendant.</w:t>
      </w:r>
      <w:r w:rsidRPr="006854E2">
        <w:rPr>
          <w:rFonts w:eastAsia="Verdana"/>
          <w:color w:val="000000"/>
          <w:sz w:val="18"/>
          <w:u w:color="000000"/>
          <w:bdr w:val="nil"/>
          <w:vertAlign w:val="superscript"/>
          <w:lang w:val="en-US" w:eastAsia="fr-CH"/>
        </w:rPr>
        <w:footnoteReference w:id="97"/>
      </w:r>
      <w:r w:rsidRPr="006854E2">
        <w:rPr>
          <w:rFonts w:eastAsia="Verdana"/>
          <w:color w:val="000000"/>
          <w:u w:color="000000"/>
          <w:bdr w:val="nil"/>
          <w:lang w:val="en-US" w:eastAsia="fr-CH"/>
        </w:rPr>
        <w:t xml:space="preserve"> </w:t>
      </w:r>
      <w:r w:rsidRPr="006854E2">
        <w:rPr>
          <w:rFonts w:eastAsia="Malgun Gothic"/>
          <w:lang w:val="en-ZA"/>
        </w:rPr>
        <w:t xml:space="preserve">The conditions under which the protection of trade secrets </w:t>
      </w:r>
      <w:r w:rsidRPr="006854E2">
        <w:rPr>
          <w:rFonts w:eastAsia="Malgun Gothic"/>
          <w:lang w:eastAsia="fr-FR"/>
        </w:rPr>
        <w:t>and</w:t>
      </w:r>
      <w:r w:rsidRPr="006854E2">
        <w:rPr>
          <w:rFonts w:eastAsia="Malgun Gothic"/>
          <w:lang w:val="en-ZA"/>
        </w:rPr>
        <w:t xml:space="preserve"> other grounds for refusing disclosure may be invoked should be defined restrictively, without jeopardizing the right of all parties to a fair trial. </w:t>
      </w:r>
      <w:r w:rsidRPr="006854E2">
        <w:rPr>
          <w:rFonts w:eastAsia="Corbel"/>
          <w:color w:val="000000"/>
          <w:u w:color="000000"/>
          <w:bdr w:val="nil"/>
          <w:lang w:val="en-US" w:eastAsia="fr-CH"/>
        </w:rPr>
        <w:t xml:space="preserve">Furthermore, States Parties and their judicial and enforcement agencies have a duty to cooperate </w:t>
      </w:r>
      <w:r w:rsidRPr="006854E2">
        <w:rPr>
          <w:rFonts w:eastAsia="Verdana"/>
          <w:color w:val="000000"/>
          <w:u w:color="000000"/>
          <w:bdr w:val="nil"/>
          <w:lang w:val="en-US" w:eastAsia="fr-CH"/>
        </w:rPr>
        <w:t>with one another in order to promote information sharing and transparency and prevent the denial of justice.</w:t>
      </w:r>
    </w:p>
    <w:p w:rsidR="006854E2" w:rsidRPr="006854E2" w:rsidRDefault="006854E2" w:rsidP="00BA7C63">
      <w:pPr>
        <w:numPr>
          <w:ilvl w:val="0"/>
          <w:numId w:val="12"/>
        </w:numPr>
        <w:spacing w:after="120"/>
        <w:ind w:left="1134" w:right="1134" w:firstLine="0"/>
        <w:jc w:val="both"/>
        <w:rPr>
          <w:rFonts w:eastAsia="Verdana"/>
          <w:color w:val="000000"/>
          <w:u w:color="000000"/>
          <w:bdr w:val="nil"/>
          <w:lang w:val="en-US" w:eastAsia="fr-CH"/>
        </w:rPr>
      </w:pPr>
      <w:r w:rsidRPr="006854E2">
        <w:rPr>
          <w:rFonts w:eastAsia="Verdana"/>
          <w:color w:val="000000"/>
          <w:u w:color="000000"/>
          <w:bdr w:val="nil"/>
          <w:lang w:val="en-US" w:eastAsia="fr-CH"/>
        </w:rPr>
        <w:t xml:space="preserve">States </w:t>
      </w:r>
      <w:r w:rsidRPr="006854E2">
        <w:rPr>
          <w:rFonts w:eastAsia="Malgun Gothic"/>
          <w:lang w:eastAsia="fr-FR"/>
        </w:rPr>
        <w:t>Parties</w:t>
      </w:r>
      <w:r w:rsidRPr="006854E2">
        <w:rPr>
          <w:rFonts w:eastAsia="Verdana"/>
          <w:color w:val="000000"/>
          <w:u w:color="000000"/>
          <w:bdr w:val="nil"/>
          <w:lang w:val="en-US" w:eastAsia="fr-CH"/>
        </w:rPr>
        <w:t xml:space="preserve"> should ensure that indigenous peoples have access to effective remedies, both judicial and non-judicial, </w:t>
      </w:r>
      <w:r w:rsidRPr="006854E2">
        <w:rPr>
          <w:rFonts w:ascii="GalliardStd-Roman" w:eastAsia="Malgun Gothic" w:hAnsi="GalliardStd-Roman" w:cs="GalliardStd-Roman"/>
        </w:rPr>
        <w:t xml:space="preserve">for all infringements of their individual and collective rights. These remedies should be </w:t>
      </w:r>
      <w:r w:rsidRPr="006854E2">
        <w:rPr>
          <w:rFonts w:eastAsia="Verdana"/>
          <w:color w:val="000000"/>
          <w:u w:color="000000"/>
          <w:bdr w:val="nil"/>
          <w:lang w:val="en-US" w:eastAsia="fr-CH"/>
        </w:rPr>
        <w:t>sensitive to indigenous cultures and accessible to indigenous peoples</w:t>
      </w:r>
      <w:r w:rsidRPr="006854E2">
        <w:rPr>
          <w:rFonts w:ascii="GalliardStd-Roman" w:eastAsia="Malgun Gothic" w:hAnsi="GalliardStd-Roman" w:cs="GalliardStd-Roman"/>
        </w:rPr>
        <w:t>.</w:t>
      </w:r>
      <w:r w:rsidRPr="006854E2">
        <w:rPr>
          <w:rFonts w:eastAsia="Malgun Gothic" w:cs="GalliardStd-Roman"/>
          <w:sz w:val="18"/>
          <w:vertAlign w:val="superscript"/>
        </w:rPr>
        <w:footnoteReference w:id="98"/>
      </w:r>
    </w:p>
    <w:p w:rsidR="006854E2" w:rsidRPr="006854E2" w:rsidRDefault="006854E2" w:rsidP="00BA7C63">
      <w:pPr>
        <w:numPr>
          <w:ilvl w:val="0"/>
          <w:numId w:val="12"/>
        </w:numPr>
        <w:spacing w:after="120"/>
        <w:ind w:left="1134" w:right="1134" w:firstLine="0"/>
        <w:jc w:val="both"/>
        <w:rPr>
          <w:rFonts w:eastAsia="Verdana"/>
          <w:color w:val="000000"/>
          <w:u w:color="000000"/>
          <w:bdr w:val="nil"/>
          <w:lang w:val="en-US" w:eastAsia="fr-CH"/>
        </w:rPr>
      </w:pPr>
      <w:r w:rsidRPr="006854E2">
        <w:rPr>
          <w:rFonts w:eastAsia="Verdana"/>
          <w:color w:val="000000"/>
          <w:u w:color="000000"/>
          <w:bdr w:val="nil"/>
          <w:lang w:val="en-US" w:eastAsia="fr-CH"/>
        </w:rPr>
        <w:t xml:space="preserve">The </w:t>
      </w:r>
      <w:r w:rsidRPr="006854E2">
        <w:rPr>
          <w:rFonts w:eastAsia="Malgun Gothic"/>
          <w:lang w:eastAsia="fr-FR"/>
        </w:rPr>
        <w:t>Committee</w:t>
      </w:r>
      <w:r w:rsidRPr="006854E2">
        <w:rPr>
          <w:rFonts w:eastAsia="Verdana"/>
          <w:color w:val="000000"/>
          <w:u w:color="000000"/>
          <w:bdr w:val="nil"/>
          <w:lang w:val="en-US" w:eastAsia="fr-CH"/>
        </w:rPr>
        <w:t xml:space="preserve"> recalls that </w:t>
      </w:r>
      <w:r w:rsidRPr="006854E2">
        <w:rPr>
          <w:rFonts w:eastAsia="Verdana"/>
          <w:color w:val="000000"/>
          <w:u w:color="000000"/>
          <w:bdr w:val="nil"/>
          <w:shd w:val="clear" w:color="auto" w:fill="FEFEFE"/>
          <w:lang w:val="en-US" w:eastAsia="fr-CH"/>
        </w:rPr>
        <w:t xml:space="preserve">all government branches and agencies of States Parties, including the judiciary and law enforcement agencies, are bound by the obligations under the Covenant. States parties should ensure that the judiciary, in particular judges and lawyers, are well informed of the obligations under the Covenant linked to business activities, and that they may exercise their functions in complete independence. </w:t>
      </w:r>
    </w:p>
    <w:p w:rsidR="006854E2" w:rsidRPr="006854E2" w:rsidRDefault="006854E2" w:rsidP="00BA7C63">
      <w:pPr>
        <w:numPr>
          <w:ilvl w:val="0"/>
          <w:numId w:val="12"/>
        </w:numPr>
        <w:spacing w:after="120"/>
        <w:ind w:left="1134" w:right="1134" w:firstLine="0"/>
        <w:jc w:val="both"/>
        <w:rPr>
          <w:rFonts w:eastAsia="Helvetica"/>
          <w:bCs/>
          <w:color w:val="000000"/>
          <w:u w:color="000000"/>
          <w:bdr w:val="nil"/>
          <w:lang w:val="en-US" w:eastAsia="fr-CH"/>
        </w:rPr>
      </w:pPr>
      <w:r w:rsidRPr="006854E2">
        <w:rPr>
          <w:rFonts w:eastAsia="Helvetica"/>
          <w:color w:val="000000"/>
          <w:u w:color="000000"/>
          <w:bdr w:val="nil"/>
          <w:lang w:val="en-US" w:eastAsia="fr-CH"/>
        </w:rPr>
        <w:t xml:space="preserve">Finally, the Committee draws the attention of the States parties to the challenges facing </w:t>
      </w:r>
      <w:r w:rsidRPr="006854E2">
        <w:rPr>
          <w:rFonts w:eastAsia="Helvetica"/>
          <w:color w:val="000000"/>
          <w:u w:color="000000"/>
          <w:bdr w:val="nil"/>
          <w:shd w:val="clear" w:color="auto" w:fill="FEFEFE"/>
          <w:lang w:val="en-US" w:eastAsia="fr-CH"/>
        </w:rPr>
        <w:t>human rights defenders.</w:t>
      </w:r>
      <w:r w:rsidRPr="006854E2">
        <w:rPr>
          <w:rFonts w:eastAsia="Helvetica"/>
          <w:color w:val="000000"/>
          <w:u w:color="000000"/>
          <w:bdr w:val="nil"/>
          <w:shd w:val="clear" w:color="auto" w:fill="FEFEFE"/>
          <w:vertAlign w:val="superscript"/>
          <w:lang w:val="en-US" w:eastAsia="fr-CH"/>
        </w:rPr>
        <w:footnoteReference w:id="99"/>
      </w:r>
      <w:r w:rsidRPr="006854E2">
        <w:rPr>
          <w:rFonts w:eastAsia="Helvetica"/>
          <w:color w:val="000000"/>
          <w:u w:color="000000"/>
          <w:bdr w:val="nil"/>
          <w:shd w:val="clear" w:color="auto" w:fill="FEFEFE"/>
          <w:lang w:val="en-US" w:eastAsia="fr-CH"/>
        </w:rPr>
        <w:t xml:space="preserve"> T</w:t>
      </w:r>
      <w:r w:rsidRPr="006854E2">
        <w:rPr>
          <w:rFonts w:eastAsia="Helvetica"/>
          <w:color w:val="000000"/>
          <w:u w:color="000000"/>
          <w:bdr w:val="nil"/>
          <w:lang w:val="en-US" w:eastAsia="fr-CH"/>
        </w:rPr>
        <w:t>he Committee has regularly come across accounts of threats and attacks aimed at those seeking to protect their own or others’ Covenant rights, particularly in the context of extractive and development projects.</w:t>
      </w:r>
      <w:r w:rsidRPr="006854E2">
        <w:rPr>
          <w:rFonts w:eastAsia="Helvetica"/>
          <w:color w:val="000000"/>
          <w:u w:color="000000"/>
          <w:bdr w:val="nil"/>
          <w:vertAlign w:val="superscript"/>
          <w:lang w:val="en-US" w:eastAsia="fr-CH"/>
        </w:rPr>
        <w:footnoteReference w:id="100"/>
      </w:r>
      <w:r w:rsidRPr="006854E2">
        <w:rPr>
          <w:rFonts w:eastAsia="Helvetica"/>
          <w:color w:val="000000"/>
          <w:u w:color="000000"/>
          <w:bdr w:val="nil"/>
          <w:lang w:val="en-US" w:eastAsia="fr-CH"/>
        </w:rPr>
        <w:t xml:space="preserve"> In addition, </w:t>
      </w:r>
      <w:r w:rsidRPr="006854E2">
        <w:rPr>
          <w:rFonts w:eastAsia="Helvetica"/>
          <w:color w:val="000000"/>
          <w:u w:color="000000"/>
          <w:bdr w:val="nil"/>
          <w:shd w:val="clear" w:color="auto" w:fill="FEFEFE"/>
          <w:lang w:val="en-US" w:eastAsia="fr-CH"/>
        </w:rPr>
        <w:t>trade union leaders, leaders of peasants' movements, indigenous leaders, and anti-corruption activists are often subject to the risk of harassment. States Parties should take all necessary measures to protect human rights advocates and their work. They should refrain from resorting to criminal prosecution to hinder their work, or from otherwise obstructing their work.</w:t>
      </w:r>
    </w:p>
    <w:p w:rsidR="006854E2" w:rsidRPr="006854E2" w:rsidRDefault="006854E2" w:rsidP="00BA7C63">
      <w:pPr>
        <w:pStyle w:val="H1G"/>
        <w:rPr>
          <w:rFonts w:eastAsia="Verdana"/>
          <w:u w:color="000000"/>
          <w:bdr w:val="nil"/>
          <w:lang w:val="en-US" w:eastAsia="fr-CH"/>
        </w:rPr>
      </w:pPr>
      <w:r w:rsidRPr="006854E2">
        <w:rPr>
          <w:rFonts w:eastAsia="Malgun Gothic"/>
          <w:u w:color="000000"/>
          <w:bdr w:val="nil"/>
          <w:lang w:val="en-US" w:eastAsia="fr-CH"/>
        </w:rPr>
        <w:tab/>
        <w:t>B.</w:t>
      </w:r>
      <w:r w:rsidRPr="006854E2">
        <w:rPr>
          <w:rFonts w:eastAsia="Malgun Gothic"/>
          <w:u w:color="000000"/>
          <w:bdr w:val="nil"/>
          <w:lang w:val="en-US" w:eastAsia="fr-CH"/>
        </w:rPr>
        <w:tab/>
        <w:t>Types of remedies</w:t>
      </w:r>
    </w:p>
    <w:p w:rsidR="006854E2" w:rsidRPr="006854E2" w:rsidRDefault="006854E2" w:rsidP="00BA7C63">
      <w:pPr>
        <w:numPr>
          <w:ilvl w:val="0"/>
          <w:numId w:val="12"/>
        </w:numPr>
        <w:spacing w:after="120"/>
        <w:ind w:left="1134" w:right="1134" w:firstLine="0"/>
        <w:jc w:val="both"/>
        <w:rPr>
          <w:rFonts w:eastAsia="Verdana"/>
          <w:color w:val="000000"/>
          <w:u w:color="000000"/>
          <w:bdr w:val="nil"/>
          <w:lang w:val="en-US" w:eastAsia="fr-CH"/>
        </w:rPr>
      </w:pPr>
      <w:r w:rsidRPr="006854E2">
        <w:rPr>
          <w:rFonts w:eastAsia="Verdana"/>
          <w:color w:val="000000"/>
          <w:u w:color="000000"/>
          <w:bdr w:val="nil"/>
          <w:lang w:val="en-US" w:eastAsia="fr-CH"/>
        </w:rPr>
        <w:t xml:space="preserve">Ensuring corporate accountability for violations of the Covenant rights requires a reliance on various tools. </w:t>
      </w:r>
      <w:r w:rsidRPr="006854E2">
        <w:rPr>
          <w:rFonts w:eastAsia="Verdana"/>
          <w:color w:val="000000"/>
          <w:u w:color="000000"/>
          <w:bdr w:val="nil"/>
          <w:shd w:val="clear" w:color="auto" w:fill="FEFEFE"/>
          <w:lang w:val="en-US" w:eastAsia="fr-CH"/>
        </w:rPr>
        <w:t xml:space="preserve">The most serious violations of the Covenant should give rise to criminal liability of corporations, and/or of the individuals responsible. Prosecuting authorities may </w:t>
      </w:r>
      <w:r w:rsidRPr="006854E2">
        <w:rPr>
          <w:rFonts w:eastAsia="Malgun Gothic"/>
          <w:lang w:eastAsia="fr-FR"/>
        </w:rPr>
        <w:t>have</w:t>
      </w:r>
      <w:r w:rsidRPr="006854E2">
        <w:rPr>
          <w:rFonts w:eastAsia="Verdana"/>
          <w:color w:val="000000"/>
          <w:u w:color="000000"/>
          <w:bdr w:val="nil"/>
          <w:shd w:val="clear" w:color="auto" w:fill="FEFEFE"/>
          <w:lang w:val="en-US" w:eastAsia="fr-CH"/>
        </w:rPr>
        <w:t xml:space="preserve"> to be made aware of their role in upholding Covenant rights. Victims of violations of Covenant rights should have access to reparations where Covenant rights are at stake and whether or not criminal liability is engaged.</w:t>
      </w:r>
      <w:r w:rsidRPr="006854E2">
        <w:rPr>
          <w:rFonts w:eastAsia="Verdana"/>
          <w:color w:val="000000"/>
          <w:sz w:val="18"/>
          <w:u w:color="000000"/>
          <w:bdr w:val="nil"/>
          <w:shd w:val="clear" w:color="auto" w:fill="FEFEFE"/>
          <w:vertAlign w:val="superscript"/>
          <w:lang w:val="en-US" w:eastAsia="fr-CH"/>
        </w:rPr>
        <w:footnoteReference w:id="101"/>
      </w:r>
      <w:r w:rsidRPr="006854E2">
        <w:rPr>
          <w:rFonts w:eastAsia="Verdana"/>
          <w:color w:val="000000"/>
          <w:u w:color="000000"/>
          <w:bdr w:val="nil"/>
          <w:shd w:val="clear" w:color="auto" w:fill="FEFEFE"/>
          <w:lang w:val="en-US" w:eastAsia="fr-CH"/>
        </w:rPr>
        <w:t xml:space="preserve"> </w:t>
      </w:r>
      <w:r w:rsidRPr="006854E2">
        <w:rPr>
          <w:rFonts w:eastAsia="Malgun Gothic"/>
          <w:color w:val="333333"/>
        </w:rPr>
        <w:t xml:space="preserve">. </w:t>
      </w:r>
    </w:p>
    <w:p w:rsidR="006854E2" w:rsidRPr="006854E2" w:rsidRDefault="006854E2" w:rsidP="00BA7C63">
      <w:pPr>
        <w:numPr>
          <w:ilvl w:val="0"/>
          <w:numId w:val="12"/>
        </w:numPr>
        <w:spacing w:after="120"/>
        <w:ind w:left="1134" w:right="1134" w:firstLine="0"/>
        <w:jc w:val="both"/>
        <w:rPr>
          <w:rFonts w:eastAsia="Verdana"/>
          <w:color w:val="000000"/>
          <w:u w:color="000000"/>
          <w:bdr w:val="nil"/>
          <w:lang w:val="en-US" w:eastAsia="fr-CH"/>
        </w:rPr>
      </w:pPr>
      <w:r w:rsidRPr="006854E2">
        <w:rPr>
          <w:rFonts w:eastAsia="Malgun Gothic"/>
          <w:color w:val="333333"/>
        </w:rPr>
        <w:t xml:space="preserve">States Parties should also consider the use of administrative sanctions to discourage conduct by business entities that leads, or that may lead to, violations of the rights of the Covenant. For instance, in their public procurement regimes, States could deny the </w:t>
      </w:r>
      <w:r w:rsidRPr="006854E2">
        <w:rPr>
          <w:rFonts w:eastAsia="Malgun Gothic"/>
          <w:lang w:eastAsia="fr-FR"/>
        </w:rPr>
        <w:t>awardance</w:t>
      </w:r>
      <w:r w:rsidRPr="006854E2">
        <w:rPr>
          <w:rFonts w:eastAsia="Malgun Gothic"/>
          <w:color w:val="333333"/>
        </w:rPr>
        <w:t xml:space="preserve"> of public contracts to companies that have not provided information on the social or environmental impacts of their activities or that have not put in place measures to ensure that they act with due diligence to avoid or mitigate any negative impacts on the rights of the Covenant. Access to </w:t>
      </w:r>
      <w:r w:rsidRPr="006854E2">
        <w:rPr>
          <w:rFonts w:eastAsia="Verdana"/>
          <w:color w:val="000000"/>
          <w:u w:color="000000"/>
          <w:bdr w:val="nil"/>
          <w:shd w:val="clear" w:color="auto" w:fill="FEFEFE"/>
          <w:lang w:val="en-US" w:eastAsia="fr-CH"/>
        </w:rPr>
        <w:t xml:space="preserve">export credit  and other forms of State support may also be denied in such circumstances and, in transnational contexts, investment treaties may deny </w:t>
      </w:r>
      <w:r w:rsidRPr="006854E2">
        <w:rPr>
          <w:rFonts w:eastAsia="Malgun Gothic"/>
          <w:lang w:eastAsia="fr-FR"/>
        </w:rPr>
        <w:t>protection</w:t>
      </w:r>
      <w:r w:rsidRPr="006854E2">
        <w:rPr>
          <w:rFonts w:eastAsia="Verdana"/>
          <w:color w:val="000000"/>
          <w:u w:color="000000"/>
          <w:bdr w:val="nil"/>
          <w:shd w:val="clear" w:color="auto" w:fill="FEFEFE"/>
          <w:lang w:val="en-US" w:eastAsia="fr-CH"/>
        </w:rPr>
        <w:t xml:space="preserve"> to foreign investors of the other Party </w:t>
      </w:r>
      <w:r w:rsidRPr="006854E2">
        <w:rPr>
          <w:rFonts w:eastAsia="Malgun Gothic"/>
          <w:color w:val="333333"/>
        </w:rPr>
        <w:t>that have engaged in conduct leading to a violation of Covenant rights.</w:t>
      </w:r>
      <w:r w:rsidRPr="006854E2">
        <w:rPr>
          <w:rFonts w:eastAsia="Malgun Gothic"/>
          <w:color w:val="333333"/>
          <w:sz w:val="18"/>
          <w:vertAlign w:val="superscript"/>
        </w:rPr>
        <w:footnoteReference w:id="102"/>
      </w:r>
      <w:r w:rsidRPr="006854E2">
        <w:rPr>
          <w:rFonts w:eastAsia="Malgun Gothic"/>
          <w:color w:val="333333"/>
        </w:rPr>
        <w:t xml:space="preserve"> </w:t>
      </w:r>
    </w:p>
    <w:p w:rsidR="006854E2" w:rsidRPr="006854E2" w:rsidRDefault="00BA7C63" w:rsidP="00BA7C63">
      <w:pPr>
        <w:pStyle w:val="H23G"/>
        <w:rPr>
          <w:rFonts w:eastAsia="Malgun Gothic"/>
          <w:u w:color="000000"/>
          <w:bdr w:val="nil"/>
          <w:shd w:val="clear" w:color="auto" w:fill="9CE159"/>
          <w:lang w:val="en-US" w:eastAsia="fr-CH"/>
        </w:rPr>
      </w:pPr>
      <w:r>
        <w:rPr>
          <w:rFonts w:eastAsia="Verdana"/>
          <w:u w:color="000000"/>
          <w:bdr w:val="nil"/>
          <w:lang w:val="en-US" w:eastAsia="fr-CH"/>
        </w:rPr>
        <w:tab/>
      </w:r>
      <w:r>
        <w:rPr>
          <w:rFonts w:eastAsia="Verdana"/>
          <w:u w:color="000000"/>
          <w:bdr w:val="nil"/>
          <w:lang w:val="en-US" w:eastAsia="fr-CH"/>
        </w:rPr>
        <w:tab/>
      </w:r>
      <w:r w:rsidR="006854E2" w:rsidRPr="006854E2">
        <w:rPr>
          <w:rFonts w:eastAsia="Verdana"/>
          <w:u w:color="000000"/>
          <w:bdr w:val="nil"/>
          <w:lang w:val="en-US" w:eastAsia="fr-CH"/>
        </w:rPr>
        <w:t>Judicial remedies</w:t>
      </w:r>
    </w:p>
    <w:p w:rsidR="006854E2" w:rsidRPr="006854E2" w:rsidRDefault="006854E2" w:rsidP="00BA7C63">
      <w:pPr>
        <w:numPr>
          <w:ilvl w:val="0"/>
          <w:numId w:val="12"/>
        </w:numPr>
        <w:spacing w:after="120"/>
        <w:ind w:left="1134" w:right="1134" w:firstLine="0"/>
        <w:jc w:val="both"/>
        <w:rPr>
          <w:rFonts w:eastAsia="Verdana"/>
          <w:color w:val="000000"/>
          <w:u w:color="000000"/>
          <w:bdr w:val="nil"/>
          <w:lang w:val="en-US" w:eastAsia="fr-CH"/>
        </w:rPr>
      </w:pPr>
      <w:r w:rsidRPr="006854E2">
        <w:rPr>
          <w:rFonts w:eastAsia="Verdana"/>
          <w:color w:val="000000"/>
          <w:u w:color="000000"/>
          <w:bdr w:val="nil"/>
          <w:shd w:val="clear" w:color="auto" w:fill="FEFEFE"/>
          <w:lang w:val="en-US" w:eastAsia="fr-CH"/>
        </w:rPr>
        <w:t xml:space="preserve">Violations of Covenant rights will often be remedied by an individual claim against the State, whether on the basis of the Covenant itself, or on the basis of domestic constitutional or </w:t>
      </w:r>
      <w:r w:rsidRPr="006854E2">
        <w:rPr>
          <w:rFonts w:eastAsia="Malgun Gothic"/>
          <w:lang w:eastAsia="fr-FR"/>
        </w:rPr>
        <w:t>legislative</w:t>
      </w:r>
      <w:r w:rsidRPr="006854E2">
        <w:rPr>
          <w:rFonts w:eastAsia="Verdana"/>
          <w:color w:val="000000"/>
          <w:u w:color="000000"/>
          <w:bdr w:val="nil"/>
          <w:shd w:val="clear" w:color="auto" w:fill="FEFEFE"/>
          <w:lang w:val="en-US" w:eastAsia="fr-CH"/>
        </w:rPr>
        <w:t xml:space="preserve"> provisions that incorporate the guarantees of the Covenant. However, where the violation is directly attributable to a business entity, victims should be able to sue such an entity either directly on the basis of the Covenant in jurisdictions which consider that the Covenant imposes self-executing obligations on private actors, or on the basis of domestic legislation incorporating the Covenant in the national legal order. In this regard, civil remedies play an important role in ensuring access to justice for victims of violations of Covenant rights. </w:t>
      </w:r>
    </w:p>
    <w:p w:rsidR="006854E2" w:rsidRPr="006854E2" w:rsidRDefault="006854E2" w:rsidP="00BA7C63">
      <w:pPr>
        <w:numPr>
          <w:ilvl w:val="0"/>
          <w:numId w:val="12"/>
        </w:numPr>
        <w:spacing w:after="120"/>
        <w:ind w:left="1134" w:right="1134" w:firstLine="0"/>
        <w:jc w:val="both"/>
        <w:rPr>
          <w:rFonts w:eastAsia="Verdana"/>
          <w:color w:val="000000"/>
          <w:u w:color="000000"/>
          <w:bdr w:val="nil"/>
          <w:lang w:val="en-US" w:eastAsia="fr-CH"/>
        </w:rPr>
      </w:pPr>
      <w:r w:rsidRPr="006854E2">
        <w:rPr>
          <w:rFonts w:ascii="GalliardStd-Roman" w:eastAsia="Malgun Gothic" w:hAnsi="GalliardStd-Roman" w:cs="GalliardStd-Roman"/>
        </w:rPr>
        <w:t xml:space="preserve">Effective access to justice for indigenous peoples may require States Parties to </w:t>
      </w:r>
      <w:r w:rsidRPr="006854E2">
        <w:rPr>
          <w:rFonts w:eastAsia="Malgun Gothic"/>
          <w:lang w:eastAsia="ko-KR"/>
        </w:rPr>
        <w:t xml:space="preserve">recognize the customary laws, traditions and practices of indigenous peoples and customary </w:t>
      </w:r>
      <w:r w:rsidRPr="006854E2">
        <w:rPr>
          <w:rFonts w:eastAsia="Malgun Gothic"/>
          <w:lang w:eastAsia="fr-FR"/>
        </w:rPr>
        <w:t>ownership</w:t>
      </w:r>
      <w:r w:rsidRPr="006854E2">
        <w:rPr>
          <w:rFonts w:eastAsia="Malgun Gothic"/>
          <w:lang w:eastAsia="ko-KR"/>
        </w:rPr>
        <w:t xml:space="preserve"> over their lands and natural resources in judicial proceedings.</w:t>
      </w:r>
      <w:r w:rsidRPr="006854E2">
        <w:rPr>
          <w:rFonts w:eastAsia="Malgun Gothic"/>
          <w:sz w:val="18"/>
          <w:vertAlign w:val="superscript"/>
          <w:lang w:eastAsia="ko-KR"/>
        </w:rPr>
        <w:footnoteReference w:id="103"/>
      </w:r>
      <w:r w:rsidRPr="006854E2">
        <w:rPr>
          <w:rFonts w:eastAsia="Malgun Gothic"/>
          <w:lang w:eastAsia="ko-KR"/>
        </w:rPr>
        <w:t xml:space="preserve"> </w:t>
      </w:r>
      <w:r w:rsidRPr="006854E2">
        <w:rPr>
          <w:rFonts w:ascii="GalliardStd-Roman" w:eastAsia="Malgun Gothic" w:hAnsi="GalliardStd-Roman" w:cs="GalliardStd-Roman"/>
        </w:rPr>
        <w:t xml:space="preserve">States Parties should also </w:t>
      </w:r>
      <w:r w:rsidRPr="006854E2">
        <w:rPr>
          <w:rFonts w:eastAsia="Malgun Gothic"/>
        </w:rPr>
        <w:t>ensure the use of indigenous languages and/or interpreters in courts and the availability of legal services and information on remedies in indigenous languages, as well as provide training to court officials on indigenous history, legal traditions and customs.</w:t>
      </w:r>
      <w:r w:rsidRPr="006854E2">
        <w:rPr>
          <w:rFonts w:eastAsia="Malgun Gothic"/>
          <w:sz w:val="18"/>
          <w:vertAlign w:val="superscript"/>
        </w:rPr>
        <w:footnoteReference w:id="104"/>
      </w:r>
    </w:p>
    <w:p w:rsidR="006854E2" w:rsidRPr="006854E2" w:rsidRDefault="00BA7C63" w:rsidP="00BA7C63">
      <w:pPr>
        <w:pStyle w:val="H23G"/>
        <w:rPr>
          <w:rFonts w:eastAsia="Verdana"/>
          <w:u w:color="000000"/>
          <w:bdr w:val="nil"/>
          <w:shd w:val="clear" w:color="auto" w:fill="FEFEFE"/>
          <w:lang w:val="en-US" w:eastAsia="fr-CH"/>
        </w:rPr>
      </w:pPr>
      <w:r>
        <w:rPr>
          <w:rFonts w:eastAsia="Verdana"/>
          <w:u w:color="000000"/>
          <w:bdr w:val="nil"/>
          <w:shd w:val="clear" w:color="auto" w:fill="FEFEFE"/>
          <w:lang w:val="en-US" w:eastAsia="fr-CH"/>
        </w:rPr>
        <w:tab/>
      </w:r>
      <w:r>
        <w:rPr>
          <w:rFonts w:eastAsia="Verdana"/>
          <w:u w:color="000000"/>
          <w:bdr w:val="nil"/>
          <w:shd w:val="clear" w:color="auto" w:fill="FEFEFE"/>
          <w:lang w:val="en-US" w:eastAsia="fr-CH"/>
        </w:rPr>
        <w:tab/>
      </w:r>
      <w:r w:rsidR="006854E2" w:rsidRPr="006854E2">
        <w:rPr>
          <w:rFonts w:eastAsia="Verdana"/>
          <w:u w:color="000000"/>
          <w:bdr w:val="nil"/>
          <w:shd w:val="clear" w:color="auto" w:fill="FEFEFE"/>
          <w:lang w:val="en-US" w:eastAsia="fr-CH"/>
        </w:rPr>
        <w:t>Non-judicial remedies</w:t>
      </w:r>
    </w:p>
    <w:p w:rsidR="006854E2" w:rsidRPr="006854E2" w:rsidRDefault="006854E2" w:rsidP="00BA7C63">
      <w:pPr>
        <w:numPr>
          <w:ilvl w:val="0"/>
          <w:numId w:val="12"/>
        </w:numPr>
        <w:spacing w:after="120"/>
        <w:ind w:left="1134" w:right="1134" w:firstLine="0"/>
        <w:jc w:val="both"/>
        <w:rPr>
          <w:rFonts w:eastAsia="Verdana"/>
          <w:color w:val="000000"/>
          <w:u w:color="000000"/>
          <w:bdr w:val="nil"/>
          <w:lang w:val="en-US" w:eastAsia="fr-CH"/>
        </w:rPr>
      </w:pPr>
      <w:r w:rsidRPr="006854E2">
        <w:rPr>
          <w:rFonts w:eastAsia="Verdana"/>
          <w:color w:val="000000"/>
          <w:u w:color="000000"/>
          <w:bdr w:val="nil"/>
          <w:shd w:val="clear" w:color="auto" w:fill="FEFEFE"/>
          <w:lang w:val="en-US" w:eastAsia="fr-CH"/>
        </w:rPr>
        <w:t xml:space="preserve">While they generally should not be seen as a substitute for judicial mechanisms (which often remain indispensable for the effective protection against certain violations of Covenant rights) non-judicial remedies may contribute to providing effective remedy to the victims whose Covenant rights have been violated by business actors and ensuring accountability for such violations. These alternative mechanisms should be adequately coordinated with available judicial mechanisms both in relation to the sanction and the compensation to victims. </w:t>
      </w:r>
    </w:p>
    <w:p w:rsidR="006854E2" w:rsidRPr="006854E2" w:rsidRDefault="006854E2" w:rsidP="00BA7C63">
      <w:pPr>
        <w:numPr>
          <w:ilvl w:val="0"/>
          <w:numId w:val="12"/>
        </w:numPr>
        <w:spacing w:after="120"/>
        <w:ind w:left="1134" w:right="1134" w:firstLine="0"/>
        <w:jc w:val="both"/>
        <w:rPr>
          <w:rFonts w:eastAsia="Verdana"/>
          <w:color w:val="000000"/>
          <w:u w:color="000000"/>
          <w:bdr w:val="nil"/>
          <w:lang w:val="en-US" w:eastAsia="fr-CH"/>
        </w:rPr>
      </w:pPr>
      <w:r w:rsidRPr="006854E2">
        <w:rPr>
          <w:rFonts w:eastAsia="Malgun Gothic"/>
        </w:rPr>
        <w:t xml:space="preserve">States parties should make use of a wide range of administrative and quasi-judicial mechanisms, many of which already regulate and adjudicate aspects of business activity in many States Parties, such as labour inspectorates and tribunals, consumer and environmental protection agencies and financial supervision authorities. States Parties should </w:t>
      </w:r>
      <w:r w:rsidRPr="006854E2">
        <w:rPr>
          <w:rFonts w:eastAsia="Malgun Gothic"/>
          <w:lang w:eastAsia="fr-FR"/>
        </w:rPr>
        <w:t>explore</w:t>
      </w:r>
      <w:r w:rsidRPr="006854E2">
        <w:rPr>
          <w:rFonts w:eastAsia="Malgun Gothic"/>
        </w:rPr>
        <w:t xml:space="preserve"> options for extending the mandate of these bodies or creating new ones with the capacity to receive and resolve complaints of alleged corporate abuse to certain Covenant rights, investigate allegations, impose sanctions, and provide and enforce reparations to the victims. National human rights institutions </w:t>
      </w:r>
      <w:r w:rsidRPr="006854E2">
        <w:rPr>
          <w:rFonts w:eastAsia="Malgun Gothic"/>
          <w:u w:color="000000"/>
          <w:bdr w:val="nil"/>
          <w:shd w:val="clear" w:color="auto" w:fill="FEFEFE"/>
          <w:lang w:val="en-US" w:eastAsia="fr-CH"/>
        </w:rPr>
        <w:t>should be encouraged to establish appropriate structures within their organisations in order to monitor States' obligations with regard to business and human rights</w:t>
      </w:r>
      <w:r w:rsidRPr="006854E2">
        <w:rPr>
          <w:rFonts w:eastAsia="Malgun Gothic"/>
        </w:rPr>
        <w:t>, and they could be empowered to receive claims from victims of corporate conduct</w:t>
      </w:r>
      <w:r w:rsidRPr="006854E2">
        <w:rPr>
          <w:rFonts w:eastAsia="Malgun Gothic"/>
          <w:u w:color="000000"/>
          <w:bdr w:val="nil"/>
          <w:shd w:val="clear" w:color="auto" w:fill="FEFEFE"/>
          <w:lang w:val="en-US" w:eastAsia="fr-CH"/>
        </w:rPr>
        <w:t xml:space="preserve">. </w:t>
      </w:r>
    </w:p>
    <w:p w:rsidR="006854E2" w:rsidRPr="006854E2" w:rsidRDefault="006854E2" w:rsidP="00BA7C63">
      <w:pPr>
        <w:numPr>
          <w:ilvl w:val="0"/>
          <w:numId w:val="12"/>
        </w:numPr>
        <w:spacing w:after="120"/>
        <w:ind w:left="1134" w:right="1134" w:firstLine="0"/>
        <w:jc w:val="both"/>
        <w:rPr>
          <w:rFonts w:eastAsia="Verdana"/>
          <w:color w:val="000000"/>
          <w:u w:color="000000"/>
          <w:bdr w:val="nil"/>
          <w:lang w:val="en-US" w:eastAsia="fr-CH"/>
        </w:rPr>
      </w:pPr>
      <w:r w:rsidRPr="006854E2">
        <w:rPr>
          <w:rFonts w:eastAsia="Verdana"/>
          <w:color w:val="000000"/>
          <w:u w:color="000000"/>
          <w:bdr w:val="nil"/>
          <w:shd w:val="clear" w:color="auto" w:fill="FEFEFE"/>
          <w:lang w:val="en-US" w:eastAsia="fr-CH"/>
        </w:rPr>
        <w:t>State-based non-judicial mechanisms should provide effective protection to victims' rights. Where such alternative, non-judicial mechanisms are established, they should also possess a number of characteristics ensuring that they are credible and can effectively contribute to the prevention and reparation of violations;</w:t>
      </w:r>
      <w:r w:rsidRPr="006854E2">
        <w:rPr>
          <w:rFonts w:eastAsia="Verdana"/>
          <w:color w:val="000000"/>
          <w:u w:color="000000"/>
          <w:bdr w:val="nil"/>
          <w:shd w:val="clear" w:color="auto" w:fill="FEFEFE"/>
          <w:vertAlign w:val="superscript"/>
          <w:lang w:val="en-US" w:eastAsia="fr-CH"/>
        </w:rPr>
        <w:footnoteReference w:id="105"/>
      </w:r>
      <w:r w:rsidRPr="006854E2">
        <w:rPr>
          <w:rFonts w:eastAsia="Verdana"/>
          <w:color w:val="000000"/>
          <w:u w:color="000000"/>
          <w:bdr w:val="nil"/>
          <w:shd w:val="clear" w:color="auto" w:fill="FEFEFE"/>
          <w:lang w:val="en-US" w:eastAsia="fr-CH"/>
        </w:rPr>
        <w:t xml:space="preserve"> their decisions should be enforceable, and such mechanisms should be accessible to all.</w:t>
      </w:r>
    </w:p>
    <w:p w:rsidR="006854E2" w:rsidRPr="006854E2" w:rsidRDefault="006854E2" w:rsidP="00BA7C63">
      <w:pPr>
        <w:numPr>
          <w:ilvl w:val="0"/>
          <w:numId w:val="12"/>
        </w:numPr>
        <w:spacing w:after="120"/>
        <w:ind w:left="1134" w:right="1134" w:firstLine="0"/>
        <w:jc w:val="both"/>
        <w:rPr>
          <w:rFonts w:eastAsia="Verdana"/>
          <w:color w:val="000000"/>
          <w:u w:color="000000"/>
          <w:bdr w:val="nil"/>
          <w:lang w:val="en-US" w:eastAsia="fr-CH"/>
        </w:rPr>
      </w:pPr>
      <w:r w:rsidRPr="006854E2">
        <w:rPr>
          <w:rFonts w:eastAsia="Verdana"/>
          <w:color w:val="000000"/>
          <w:u w:color="000000"/>
          <w:bdr w:val="nil"/>
          <w:shd w:val="clear" w:color="auto" w:fill="FEFEFE"/>
          <w:lang w:val="en-US" w:eastAsia="fr-CH"/>
        </w:rPr>
        <w:t xml:space="preserve">Non-judicial mechanisms for indigenous victims should be developed with the indigenous peoples </w:t>
      </w:r>
      <w:r w:rsidRPr="006854E2">
        <w:rPr>
          <w:rFonts w:eastAsia="Malgun Gothic"/>
          <w:lang w:eastAsia="fr-FR"/>
        </w:rPr>
        <w:t>concerned</w:t>
      </w:r>
      <w:r w:rsidRPr="006854E2">
        <w:rPr>
          <w:rFonts w:eastAsia="Verdana"/>
          <w:color w:val="000000"/>
          <w:u w:color="000000"/>
          <w:bdr w:val="nil"/>
          <w:shd w:val="clear" w:color="auto" w:fill="FEFEFE"/>
          <w:lang w:val="en-US" w:eastAsia="fr-CH"/>
        </w:rPr>
        <w:t xml:space="preserve"> through their own representative institutions.</w:t>
      </w:r>
      <w:r w:rsidRPr="006854E2">
        <w:rPr>
          <w:rFonts w:eastAsia="Verdana"/>
          <w:color w:val="000000"/>
          <w:u w:color="000000"/>
          <w:bdr w:val="nil"/>
          <w:shd w:val="clear" w:color="auto" w:fill="FEFEFE"/>
          <w:vertAlign w:val="superscript"/>
          <w:lang w:val="en-US" w:eastAsia="fr-CH"/>
        </w:rPr>
        <w:footnoteReference w:id="106"/>
      </w:r>
      <w:r w:rsidRPr="006854E2">
        <w:rPr>
          <w:rFonts w:eastAsia="Verdana"/>
          <w:color w:val="000000"/>
          <w:u w:color="000000"/>
          <w:bdr w:val="nil"/>
          <w:shd w:val="clear" w:color="auto" w:fill="FEFEFE"/>
          <w:lang w:val="en-US" w:eastAsia="fr-CH"/>
        </w:rPr>
        <w:t xml:space="preserve"> As with judicial remedies, States Parties</w:t>
      </w:r>
      <w:r w:rsidRPr="006854E2">
        <w:rPr>
          <w:rFonts w:ascii="GalliardStd-Roman" w:eastAsia="Malgun Gothic" w:hAnsi="GalliardStd-Roman" w:cs="GalliardStd-Roman"/>
          <w:lang w:eastAsia="ko-KR"/>
        </w:rPr>
        <w:t xml:space="preserve"> should address </w:t>
      </w:r>
      <w:r w:rsidRPr="006854E2">
        <w:rPr>
          <w:rFonts w:eastAsia="Malgun Gothic"/>
          <w:lang w:eastAsia="ko-KR"/>
        </w:rPr>
        <w:t>barriers to indigenous peoples accessing the mechanism, including language barriers.</w:t>
      </w:r>
      <w:r w:rsidRPr="006854E2">
        <w:rPr>
          <w:rFonts w:eastAsia="Malgun Gothic"/>
          <w:sz w:val="18"/>
          <w:vertAlign w:val="superscript"/>
          <w:lang w:eastAsia="ko-KR"/>
        </w:rPr>
        <w:footnoteReference w:id="107"/>
      </w:r>
    </w:p>
    <w:p w:rsidR="006854E2" w:rsidRPr="006854E2" w:rsidRDefault="006854E2" w:rsidP="00BA7C63">
      <w:pPr>
        <w:numPr>
          <w:ilvl w:val="0"/>
          <w:numId w:val="12"/>
        </w:numPr>
        <w:spacing w:after="120"/>
        <w:ind w:left="1134" w:right="1134" w:firstLine="0"/>
        <w:jc w:val="both"/>
        <w:rPr>
          <w:rFonts w:eastAsia="Verdana"/>
          <w:color w:val="000000"/>
          <w:u w:color="000000"/>
          <w:bdr w:val="nil"/>
          <w:lang w:val="en-US" w:eastAsia="fr-CH"/>
        </w:rPr>
      </w:pPr>
      <w:r w:rsidRPr="006854E2">
        <w:rPr>
          <w:rFonts w:eastAsia="Verdana"/>
          <w:color w:val="000000"/>
          <w:u w:color="000000"/>
          <w:bdr w:val="nil"/>
          <w:lang w:val="en-US" w:eastAsia="fr-CH"/>
        </w:rPr>
        <w:t>Furthermore, non-judicial remedies should also be available in transnational settings.</w:t>
      </w:r>
      <w:r w:rsidRPr="006854E2">
        <w:rPr>
          <w:rFonts w:eastAsia="Verdana"/>
          <w:color w:val="000000"/>
          <w:u w:color="000000"/>
          <w:bdr w:val="nil"/>
          <w:shd w:val="clear" w:color="auto" w:fill="FEFEFE"/>
          <w:vertAlign w:val="superscript"/>
          <w:lang w:val="en-US" w:eastAsia="fr-CH"/>
        </w:rPr>
        <w:footnoteReference w:id="108"/>
      </w:r>
      <w:r w:rsidRPr="006854E2">
        <w:rPr>
          <w:rFonts w:eastAsia="Verdana"/>
          <w:color w:val="000000"/>
          <w:u w:color="000000"/>
          <w:bdr w:val="nil"/>
          <w:lang w:val="en-US" w:eastAsia="fr-CH"/>
        </w:rPr>
        <w:t xml:space="preserve"> Examples include access by victims located outside the State's territory to that State's human </w:t>
      </w:r>
      <w:r w:rsidRPr="006854E2">
        <w:rPr>
          <w:rFonts w:eastAsia="Malgun Gothic"/>
          <w:lang w:eastAsia="fr-FR"/>
        </w:rPr>
        <w:t>rights</w:t>
      </w:r>
      <w:r w:rsidRPr="006854E2">
        <w:rPr>
          <w:rFonts w:eastAsia="Verdana"/>
          <w:color w:val="000000"/>
          <w:u w:color="000000"/>
          <w:bdr w:val="nil"/>
          <w:lang w:val="en-US" w:eastAsia="fr-CH"/>
        </w:rPr>
        <w:t xml:space="preserve"> institutions or ombudspersons as well as to complaints mechanisms established under international organizations, such as the National Contact Points operating under the OECD Guidelines for Multinational Enterprises. </w:t>
      </w:r>
    </w:p>
    <w:p w:rsidR="006854E2" w:rsidRPr="006854E2" w:rsidRDefault="006854E2" w:rsidP="00BA7C63">
      <w:pPr>
        <w:pStyle w:val="HChG"/>
        <w:rPr>
          <w:rFonts w:eastAsia="Verdana"/>
          <w:u w:color="000000"/>
          <w:bdr w:val="nil"/>
          <w:lang w:val="en-US" w:eastAsia="fr-CH"/>
        </w:rPr>
      </w:pPr>
      <w:r w:rsidRPr="006854E2">
        <w:rPr>
          <w:rFonts w:eastAsia="Verdana"/>
          <w:u w:color="000000"/>
          <w:bdr w:val="nil"/>
          <w:lang w:val="en-US" w:eastAsia="fr-CH"/>
        </w:rPr>
        <w:tab/>
        <w:t>V.</w:t>
      </w:r>
      <w:r w:rsidRPr="006854E2">
        <w:rPr>
          <w:rFonts w:eastAsia="Verdana"/>
          <w:u w:color="000000"/>
          <w:bdr w:val="nil"/>
          <w:lang w:val="en-US" w:eastAsia="fr-CH"/>
        </w:rPr>
        <w:tab/>
        <w:t xml:space="preserve">Implementation </w:t>
      </w:r>
    </w:p>
    <w:p w:rsidR="006854E2" w:rsidRDefault="006854E2" w:rsidP="00BA7C63">
      <w:pPr>
        <w:numPr>
          <w:ilvl w:val="0"/>
          <w:numId w:val="12"/>
        </w:numPr>
        <w:spacing w:after="120"/>
        <w:ind w:left="1134" w:right="1134" w:firstLine="0"/>
        <w:jc w:val="both"/>
        <w:rPr>
          <w:rFonts w:eastAsia="Verdana"/>
          <w:color w:val="000000"/>
          <w:u w:color="000000"/>
          <w:bdr w:val="nil"/>
          <w:lang w:val="en-US" w:eastAsia="fr-CH"/>
        </w:rPr>
      </w:pPr>
      <w:r w:rsidRPr="006854E2">
        <w:rPr>
          <w:rFonts w:eastAsia="Verdana"/>
          <w:color w:val="000000"/>
          <w:u w:color="000000"/>
          <w:bdr w:val="nil"/>
          <w:lang w:val="en-US" w:eastAsia="fr-CH"/>
        </w:rPr>
        <w:t xml:space="preserve">Ensuring that business activities are pursued in line with the requirements of the Covenant requires an ongoing effort from States Parties. To support this, the national action plans or strategies that States Parties are expected to adopt to ensure the full realization of the Covenant rights should specifically address the question of the role of business entities in the </w:t>
      </w:r>
      <w:r w:rsidRPr="006854E2">
        <w:rPr>
          <w:rFonts w:eastAsia="Malgun Gothic"/>
          <w:lang w:eastAsia="fr-FR"/>
        </w:rPr>
        <w:t>progressive</w:t>
      </w:r>
      <w:r w:rsidRPr="006854E2">
        <w:rPr>
          <w:rFonts w:eastAsia="Verdana"/>
          <w:color w:val="000000"/>
          <w:u w:color="000000"/>
          <w:bdr w:val="nil"/>
          <w:lang w:val="en-US" w:eastAsia="fr-CH"/>
        </w:rPr>
        <w:t xml:space="preserve"> realization of Covenant rights. </w:t>
      </w:r>
    </w:p>
    <w:p w:rsidR="006854E2" w:rsidRPr="006854E2" w:rsidRDefault="006854E2" w:rsidP="00BA7C63">
      <w:pPr>
        <w:numPr>
          <w:ilvl w:val="0"/>
          <w:numId w:val="12"/>
        </w:numPr>
        <w:spacing w:after="120"/>
        <w:ind w:left="1134" w:right="1134" w:firstLine="0"/>
        <w:jc w:val="both"/>
        <w:rPr>
          <w:rFonts w:eastAsia="Verdana"/>
          <w:color w:val="000000"/>
          <w:u w:color="000000"/>
          <w:bdr w:val="nil"/>
          <w:lang w:val="en-US" w:eastAsia="fr-CH"/>
        </w:rPr>
      </w:pPr>
      <w:r w:rsidRPr="006854E2">
        <w:rPr>
          <w:rFonts w:eastAsia="Verdana"/>
          <w:color w:val="000000"/>
          <w:u w:color="000000"/>
          <w:bdr w:val="nil"/>
          <w:lang w:val="en-US" w:eastAsia="fr-CH"/>
        </w:rPr>
        <w:t>Following the adoption of the Guiding Principles on Business and Human Rights, many States or regional organizations have adopted action plans on business and human rights.</w:t>
      </w:r>
      <w:r w:rsidRPr="006854E2">
        <w:rPr>
          <w:rFonts w:eastAsia="Verdana"/>
          <w:color w:val="000000"/>
          <w:sz w:val="18"/>
          <w:u w:color="000000"/>
          <w:bdr w:val="nil"/>
          <w:vertAlign w:val="superscript"/>
          <w:lang w:val="en-US" w:eastAsia="fr-CH"/>
        </w:rPr>
        <w:footnoteReference w:id="109"/>
      </w:r>
      <w:r w:rsidRPr="006854E2">
        <w:rPr>
          <w:rFonts w:eastAsia="Verdana"/>
          <w:color w:val="000000"/>
          <w:u w:color="000000"/>
          <w:bdr w:val="nil"/>
          <w:lang w:val="en-US" w:eastAsia="fr-CH"/>
        </w:rPr>
        <w:t xml:space="preserve"> This is a welcome development, particularly if such action plans set specific and concrete targets, allocate responsibilities across actors, and define the time frame and necessary means for </w:t>
      </w:r>
      <w:r w:rsidRPr="00BA7C63">
        <w:rPr>
          <w:rFonts w:eastAsia="Malgun Gothic"/>
          <w:lang w:eastAsia="fr-FR"/>
        </w:rPr>
        <w:t>their</w:t>
      </w:r>
      <w:r w:rsidRPr="006854E2">
        <w:rPr>
          <w:rFonts w:eastAsia="Verdana"/>
          <w:color w:val="000000"/>
          <w:u w:color="000000"/>
          <w:bdr w:val="nil"/>
          <w:lang w:val="en-US" w:eastAsia="fr-CH"/>
        </w:rPr>
        <w:t xml:space="preserve"> adoption. Action plans on business and human rights should incorporate human rights principles, including effective and meaningful participation, non-discrimination and gender equality, and accountability and transparency. Progress in implementing such action plans should be monitored, and such plans should place equal emphasis on all categories of human rights, including economic, social and cultural rights. As regards the requirement of participation in the design of such plans, the Committee recalls the fundamental role that national human rights institutions and civil society organizations can and should play in achieving the full realization of Covenant rights in the context of business activitie</w:t>
      </w:r>
    </w:p>
    <w:p w:rsidR="001C6663" w:rsidRPr="00BA7C63" w:rsidRDefault="00BA7C63" w:rsidP="00BA7C63">
      <w:pPr>
        <w:spacing w:before="240"/>
        <w:ind w:left="1134" w:right="1134"/>
        <w:jc w:val="center"/>
        <w:rPr>
          <w:u w:val="single"/>
        </w:rPr>
      </w:pPr>
      <w:r>
        <w:rPr>
          <w:u w:val="single"/>
        </w:rPr>
        <w:tab/>
      </w:r>
      <w:r>
        <w:rPr>
          <w:u w:val="single"/>
        </w:rPr>
        <w:tab/>
      </w:r>
      <w:r>
        <w:rPr>
          <w:u w:val="single"/>
        </w:rPr>
        <w:tab/>
      </w:r>
    </w:p>
    <w:sectPr w:rsidR="001C6663" w:rsidRPr="00BA7C63" w:rsidSect="006854E2">
      <w:headerReference w:type="even" r:id="rId11"/>
      <w:headerReference w:type="default" r:id="rId12"/>
      <w:footerReference w:type="even" r:id="rId13"/>
      <w:footerReference w:type="default" r:id="rId14"/>
      <w:footerReference w:type="first" r:id="rId15"/>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4E2" w:rsidRDefault="006854E2"/>
  </w:endnote>
  <w:endnote w:type="continuationSeparator" w:id="0">
    <w:p w:rsidR="006854E2" w:rsidRDefault="006854E2"/>
  </w:endnote>
  <w:endnote w:type="continuationNotice" w:id="1">
    <w:p w:rsidR="006854E2" w:rsidRDefault="006854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lliardStd-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4E2" w:rsidRPr="006854E2" w:rsidRDefault="006854E2" w:rsidP="006854E2">
    <w:pPr>
      <w:pStyle w:val="Footer"/>
      <w:tabs>
        <w:tab w:val="right" w:pos="9638"/>
      </w:tabs>
      <w:rPr>
        <w:sz w:val="18"/>
      </w:rPr>
    </w:pPr>
    <w:r w:rsidRPr="006854E2">
      <w:rPr>
        <w:b/>
        <w:sz w:val="18"/>
      </w:rPr>
      <w:fldChar w:fldCharType="begin"/>
    </w:r>
    <w:r w:rsidRPr="006854E2">
      <w:rPr>
        <w:b/>
        <w:sz w:val="18"/>
      </w:rPr>
      <w:instrText xml:space="preserve"> PAGE  \* MERGEFORMAT </w:instrText>
    </w:r>
    <w:r w:rsidRPr="006854E2">
      <w:rPr>
        <w:b/>
        <w:sz w:val="18"/>
      </w:rPr>
      <w:fldChar w:fldCharType="separate"/>
    </w:r>
    <w:r w:rsidR="007A3EF7">
      <w:rPr>
        <w:b/>
        <w:noProof/>
        <w:sz w:val="18"/>
      </w:rPr>
      <w:t>2</w:t>
    </w:r>
    <w:r w:rsidRPr="006854E2">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4E2" w:rsidRPr="006854E2" w:rsidRDefault="006854E2" w:rsidP="006854E2">
    <w:pPr>
      <w:pStyle w:val="Footer"/>
      <w:tabs>
        <w:tab w:val="right" w:pos="9638"/>
      </w:tabs>
      <w:rPr>
        <w:b/>
        <w:sz w:val="18"/>
      </w:rPr>
    </w:pPr>
    <w:r>
      <w:tab/>
    </w:r>
    <w:r w:rsidRPr="006854E2">
      <w:rPr>
        <w:b/>
        <w:sz w:val="18"/>
      </w:rPr>
      <w:fldChar w:fldCharType="begin"/>
    </w:r>
    <w:r w:rsidRPr="006854E2">
      <w:rPr>
        <w:b/>
        <w:sz w:val="18"/>
      </w:rPr>
      <w:instrText xml:space="preserve"> PAGE  \* MERGEFORMAT </w:instrText>
    </w:r>
    <w:r w:rsidRPr="006854E2">
      <w:rPr>
        <w:b/>
        <w:sz w:val="18"/>
      </w:rPr>
      <w:fldChar w:fldCharType="separate"/>
    </w:r>
    <w:r w:rsidR="007A3EF7">
      <w:rPr>
        <w:b/>
        <w:noProof/>
        <w:sz w:val="18"/>
      </w:rPr>
      <w:t>3</w:t>
    </w:r>
    <w:r w:rsidRPr="006854E2">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23F" w:rsidRPr="006854E2" w:rsidRDefault="00686A48">
    <w:pPr>
      <w:pStyle w:val="Footer"/>
      <w:rPr>
        <w:sz w:val="20"/>
      </w:rPr>
    </w:pPr>
    <w:r>
      <w:rPr>
        <w:noProof/>
        <w:lang w:val="en-US"/>
      </w:rPr>
      <w:drawing>
        <wp:anchor distT="0" distB="0" distL="114300" distR="114300" simplePos="0" relativeHeight="251657728" behindDoc="0" locked="1" layoutInCell="1" allowOverlap="1" wp14:anchorId="01DFD2CB" wp14:editId="02A65FEF">
          <wp:simplePos x="0" y="0"/>
          <wp:positionH relativeFrom="margin">
            <wp:posOffset>5003800</wp:posOffset>
          </wp:positionH>
          <wp:positionV relativeFrom="margin">
            <wp:posOffset>9323705</wp:posOffset>
          </wp:positionV>
          <wp:extent cx="933450" cy="228600"/>
          <wp:effectExtent l="0" t="0" r="0" b="0"/>
          <wp:wrapNone/>
          <wp:docPr id="2" name="Image 2"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6854E2">
      <w:rPr>
        <w:sz w:val="20"/>
      </w:rPr>
      <w:t>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4E2" w:rsidRPr="000B175B" w:rsidRDefault="006854E2" w:rsidP="000B175B">
      <w:pPr>
        <w:tabs>
          <w:tab w:val="right" w:pos="2155"/>
        </w:tabs>
        <w:spacing w:after="80"/>
        <w:ind w:left="680"/>
        <w:rPr>
          <w:u w:val="single"/>
        </w:rPr>
      </w:pPr>
      <w:r>
        <w:rPr>
          <w:u w:val="single"/>
        </w:rPr>
        <w:tab/>
      </w:r>
    </w:p>
  </w:footnote>
  <w:footnote w:type="continuationSeparator" w:id="0">
    <w:p w:rsidR="006854E2" w:rsidRPr="00FC68B7" w:rsidRDefault="006854E2" w:rsidP="00FC68B7">
      <w:pPr>
        <w:tabs>
          <w:tab w:val="left" w:pos="2155"/>
        </w:tabs>
        <w:spacing w:after="80"/>
        <w:ind w:left="680"/>
        <w:rPr>
          <w:u w:val="single"/>
        </w:rPr>
      </w:pPr>
      <w:r>
        <w:rPr>
          <w:u w:val="single"/>
        </w:rPr>
        <w:tab/>
      </w:r>
    </w:p>
  </w:footnote>
  <w:footnote w:type="continuationNotice" w:id="1">
    <w:p w:rsidR="006854E2" w:rsidRDefault="006854E2"/>
  </w:footnote>
  <w:footnote w:id="2">
    <w:p w:rsidR="006854E2" w:rsidRPr="005942FA" w:rsidRDefault="006854E2" w:rsidP="006854E2">
      <w:pPr>
        <w:pStyle w:val="FootnoteText"/>
      </w:pPr>
      <w:r>
        <w:rPr>
          <w:lang w:val="fr-CH"/>
        </w:rPr>
        <w:tab/>
      </w:r>
      <w:r w:rsidRPr="005942FA">
        <w:rPr>
          <w:rStyle w:val="FootnoteReference"/>
          <w:rFonts w:eastAsia="Calibri"/>
          <w:szCs w:val="18"/>
        </w:rPr>
        <w:footnoteRef/>
      </w:r>
      <w:r w:rsidRPr="007A3EF7">
        <w:rPr>
          <w:lang w:val="en-US"/>
        </w:rPr>
        <w:tab/>
      </w:r>
      <w:r w:rsidRPr="005942FA">
        <w:t>E/C.12/2000/4 (General Comment No. 14 (2000): The right to the highest attainable standard of health (art. 12)) (“GC 14”), paras. 26, 35.</w:t>
      </w:r>
    </w:p>
  </w:footnote>
  <w:footnote w:id="3">
    <w:p w:rsidR="006854E2" w:rsidRPr="005942FA" w:rsidRDefault="006854E2" w:rsidP="006854E2">
      <w:pPr>
        <w:pStyle w:val="FootnoteText"/>
        <w:rPr>
          <w:lang w:val="nl-NL"/>
        </w:rPr>
      </w:pPr>
      <w:r w:rsidRPr="007A3EF7">
        <w:rPr>
          <w:lang w:val="en-US"/>
        </w:rPr>
        <w:tab/>
      </w:r>
      <w:r w:rsidRPr="005942FA">
        <w:rPr>
          <w:rStyle w:val="FootnoteReference"/>
          <w:rFonts w:eastAsia="Calibri"/>
          <w:szCs w:val="18"/>
        </w:rPr>
        <w:footnoteRef/>
      </w:r>
      <w:r w:rsidRPr="007A3EF7">
        <w:rPr>
          <w:lang w:val="en-US"/>
        </w:rPr>
        <w:tab/>
      </w:r>
      <w:r w:rsidRPr="005942FA">
        <w:t>E/1992/23 (General Comment No. 4 (1991): The right to adequate housing), para. 14.</w:t>
      </w:r>
    </w:p>
  </w:footnote>
  <w:footnote w:id="4">
    <w:p w:rsidR="006854E2" w:rsidRPr="005942FA" w:rsidRDefault="006854E2" w:rsidP="006854E2">
      <w:pPr>
        <w:pStyle w:val="FootnoteText"/>
        <w:rPr>
          <w:lang w:val="nl-NL"/>
        </w:rPr>
      </w:pPr>
      <w:r>
        <w:rPr>
          <w:lang w:val="fr-CH"/>
        </w:rPr>
        <w:tab/>
      </w:r>
      <w:r w:rsidRPr="005942FA">
        <w:rPr>
          <w:rStyle w:val="FootnoteReference"/>
          <w:szCs w:val="18"/>
        </w:rPr>
        <w:footnoteRef/>
      </w:r>
      <w:r w:rsidRPr="007A3EF7">
        <w:rPr>
          <w:lang w:val="en-US"/>
        </w:rPr>
        <w:tab/>
      </w:r>
      <w:r w:rsidRPr="005942FA">
        <w:rPr>
          <w:lang w:val="nl-NL"/>
        </w:rPr>
        <w:t xml:space="preserve">E/C.12/1999/5 (General Comment No. </w:t>
      </w:r>
      <w:r w:rsidRPr="005942FA">
        <w:rPr>
          <w:lang w:val="nl-NL"/>
        </w:rPr>
        <w:t>12 (1999): The right to adequate food (art. 11))</w:t>
      </w:r>
      <w:r>
        <w:rPr>
          <w:lang w:val="nl-NL"/>
        </w:rPr>
        <w:t xml:space="preserve"> </w:t>
      </w:r>
      <w:r w:rsidRPr="005942FA">
        <w:t>(“GC 1</w:t>
      </w:r>
      <w:r w:rsidRPr="00422E2C">
        <w:t>2</w:t>
      </w:r>
      <w:r w:rsidRPr="005942FA">
        <w:t>”)</w:t>
      </w:r>
      <w:r w:rsidRPr="005942FA">
        <w:rPr>
          <w:lang w:val="nl-NL"/>
        </w:rPr>
        <w:t>, paras. 19-20.</w:t>
      </w:r>
    </w:p>
  </w:footnote>
  <w:footnote w:id="5">
    <w:p w:rsidR="006854E2" w:rsidRPr="005942FA" w:rsidRDefault="006854E2" w:rsidP="006854E2">
      <w:pPr>
        <w:pStyle w:val="FootnoteText"/>
      </w:pPr>
      <w:r>
        <w:rPr>
          <w:lang w:val="fr-CH"/>
        </w:rPr>
        <w:tab/>
      </w:r>
      <w:r w:rsidRPr="005942FA">
        <w:rPr>
          <w:rStyle w:val="FootnoteReference"/>
          <w:rFonts w:eastAsia="Calibri"/>
          <w:szCs w:val="18"/>
        </w:rPr>
        <w:footnoteRef/>
      </w:r>
      <w:r>
        <w:rPr>
          <w:lang w:val="fr-CH"/>
        </w:rPr>
        <w:tab/>
      </w:r>
      <w:r w:rsidRPr="005942FA">
        <w:t xml:space="preserve">E/C.12/2002/11 (General Comment No. 15 (2002): The right to water (arts. 11 and 12)) (“GC 15”), para. 49. </w:t>
      </w:r>
    </w:p>
  </w:footnote>
  <w:footnote w:id="6">
    <w:p w:rsidR="006854E2" w:rsidRPr="005942FA" w:rsidRDefault="006854E2" w:rsidP="006854E2">
      <w:pPr>
        <w:pStyle w:val="FootnoteText"/>
      </w:pPr>
      <w:r>
        <w:rPr>
          <w:lang w:val="fr-CH"/>
        </w:rPr>
        <w:tab/>
      </w:r>
      <w:r w:rsidRPr="005942FA">
        <w:rPr>
          <w:rStyle w:val="FootnoteReference"/>
          <w:rFonts w:eastAsia="Calibri"/>
          <w:szCs w:val="18"/>
        </w:rPr>
        <w:footnoteRef/>
      </w:r>
      <w:r w:rsidRPr="007A3EF7">
        <w:rPr>
          <w:lang w:val="en-US"/>
        </w:rPr>
        <w:tab/>
      </w:r>
      <w:r w:rsidRPr="005942FA">
        <w:t>E/C.</w:t>
      </w:r>
      <w:r w:rsidRPr="005942FA">
        <w:rPr>
          <w:lang w:val="en-US"/>
        </w:rPr>
        <w:t>12</w:t>
      </w:r>
      <w:r w:rsidRPr="005942FA">
        <w:t>/GC/19 (General Comment No. 19 (2008): The right to social security (art. 9)) (“GC 19”), paras. 45-46, 71.</w:t>
      </w:r>
    </w:p>
  </w:footnote>
  <w:footnote w:id="7">
    <w:p w:rsidR="006854E2" w:rsidRPr="005942FA" w:rsidRDefault="006854E2" w:rsidP="006854E2">
      <w:pPr>
        <w:pStyle w:val="FootnoteText"/>
        <w:rPr>
          <w:lang w:val="en-US"/>
        </w:rPr>
      </w:pPr>
      <w:r>
        <w:rPr>
          <w:lang w:val="fr-CH"/>
        </w:rPr>
        <w:tab/>
      </w:r>
      <w:r w:rsidRPr="005942FA">
        <w:rPr>
          <w:rStyle w:val="FootnoteReference"/>
          <w:rFonts w:eastAsia="Calibri"/>
          <w:szCs w:val="18"/>
        </w:rPr>
        <w:footnoteRef/>
      </w:r>
      <w:r>
        <w:rPr>
          <w:lang w:val="fr-CH"/>
        </w:rPr>
        <w:tab/>
      </w:r>
      <w:r w:rsidRPr="005942FA">
        <w:t>E/C.12/GC/18 (General Comment No. 18 (2006): The right to work (art. 6))</w:t>
      </w:r>
      <w:r w:rsidRPr="00422E2C">
        <w:t xml:space="preserve"> </w:t>
      </w:r>
      <w:r w:rsidRPr="005942FA">
        <w:t>(“GC 1</w:t>
      </w:r>
      <w:r w:rsidRPr="00422E2C">
        <w:t>8</w:t>
      </w:r>
      <w:r w:rsidRPr="005942FA">
        <w:t>”), para. 52.</w:t>
      </w:r>
    </w:p>
  </w:footnote>
  <w:footnote w:id="8">
    <w:p w:rsidR="006854E2" w:rsidRPr="005942FA" w:rsidRDefault="006854E2" w:rsidP="006854E2">
      <w:pPr>
        <w:pStyle w:val="FootnoteText"/>
      </w:pPr>
      <w:r>
        <w:rPr>
          <w:lang w:val="fr-CH"/>
        </w:rPr>
        <w:tab/>
      </w:r>
      <w:r w:rsidRPr="005942FA">
        <w:rPr>
          <w:rStyle w:val="FootnoteReference"/>
          <w:rFonts w:eastAsia="Calibri"/>
          <w:szCs w:val="18"/>
        </w:rPr>
        <w:footnoteRef/>
      </w:r>
      <w:r>
        <w:rPr>
          <w:lang w:val="fr-CH"/>
        </w:rPr>
        <w:tab/>
      </w:r>
      <w:r w:rsidRPr="005942FA">
        <w:t>E/C.12/GC/23 (General Comment No. 23 (2016): The right to just and favorable conditions of work (art. 7))</w:t>
      </w:r>
      <w:r w:rsidRPr="00422E2C">
        <w:t xml:space="preserve"> </w:t>
      </w:r>
      <w:r w:rsidRPr="005942FA">
        <w:t xml:space="preserve">(“GC </w:t>
      </w:r>
      <w:r w:rsidRPr="00422E2C">
        <w:t>23</w:t>
      </w:r>
      <w:r w:rsidRPr="005942FA">
        <w:t>”), paras. 74-75.</w:t>
      </w:r>
    </w:p>
  </w:footnote>
  <w:footnote w:id="9">
    <w:p w:rsidR="006854E2" w:rsidRPr="005942FA" w:rsidRDefault="006854E2" w:rsidP="006854E2">
      <w:pPr>
        <w:pStyle w:val="FootnoteText"/>
        <w:rPr>
          <w:lang w:val="nl-NL"/>
        </w:rPr>
      </w:pPr>
      <w:r>
        <w:rPr>
          <w:lang w:val="fr-CH"/>
        </w:rPr>
        <w:tab/>
      </w:r>
      <w:r w:rsidRPr="005942FA">
        <w:rPr>
          <w:rStyle w:val="FootnoteReference"/>
          <w:szCs w:val="18"/>
        </w:rPr>
        <w:footnoteRef/>
      </w:r>
      <w:r w:rsidRPr="007A3EF7">
        <w:rPr>
          <w:lang w:val="en-US"/>
        </w:rPr>
        <w:tab/>
      </w:r>
      <w:r w:rsidRPr="005942FA">
        <w:rPr>
          <w:lang w:eastAsia="fr-FR"/>
        </w:rPr>
        <w:t xml:space="preserve">E/C.12/AZE/CO/3 (Concluding observations on the third periodic report of Azerbaidjan (2013)), para. 15. </w:t>
      </w:r>
    </w:p>
  </w:footnote>
  <w:footnote w:id="10">
    <w:p w:rsidR="006854E2" w:rsidRPr="005942FA" w:rsidRDefault="006854E2" w:rsidP="006854E2">
      <w:pPr>
        <w:pStyle w:val="FootnoteText"/>
      </w:pPr>
      <w:r>
        <w:rPr>
          <w:lang w:val="fr-CH"/>
        </w:rPr>
        <w:tab/>
      </w:r>
      <w:r w:rsidRPr="005942FA">
        <w:rPr>
          <w:rStyle w:val="FootnoteReference"/>
          <w:rFonts w:eastAsia="Calibri"/>
          <w:szCs w:val="18"/>
        </w:rPr>
        <w:footnoteRef/>
      </w:r>
      <w:r w:rsidRPr="007A3EF7">
        <w:rPr>
          <w:lang w:val="en-US"/>
        </w:rPr>
        <w:tab/>
      </w:r>
      <w:r w:rsidRPr="005942FA">
        <w:t>E/C.12/CAN/CO/6 (Concluding observations on the sixth periodic report of Canada (2016)), paras. 15-16; E/C.12/VNM/CO/2-4 (Concluding observations on the second to fourth periodic reports of Viet Nam (2014)), paras. 22, 29; E/C.12/DEU/CO/5 (Concluding observations on the fifth periodic report of Germany (2011)), paras. 9-11.</w:t>
      </w:r>
    </w:p>
  </w:footnote>
  <w:footnote w:id="11">
    <w:p w:rsidR="006854E2" w:rsidRPr="005942FA" w:rsidRDefault="006854E2" w:rsidP="006854E2">
      <w:pPr>
        <w:pStyle w:val="FootnoteText"/>
        <w:rPr>
          <w:lang w:eastAsia="ko-KR"/>
        </w:rPr>
      </w:pPr>
      <w:r>
        <w:rPr>
          <w:vertAlign w:val="superscript"/>
          <w:lang w:val="fr-CH"/>
        </w:rPr>
        <w:tab/>
      </w:r>
      <w:r w:rsidRPr="005942FA">
        <w:rPr>
          <w:rStyle w:val="FootnoteReference"/>
          <w:rFonts w:eastAsia="Calibri"/>
          <w:szCs w:val="18"/>
        </w:rPr>
        <w:footnoteRef/>
      </w:r>
      <w:r w:rsidRPr="007A3EF7">
        <w:rPr>
          <w:vertAlign w:val="superscript"/>
          <w:lang w:val="en-US"/>
        </w:rPr>
        <w:tab/>
      </w:r>
      <w:r w:rsidRPr="005942FA">
        <w:rPr>
          <w:i/>
        </w:rPr>
        <w:t>I.D.G. v. Spain</w:t>
      </w:r>
      <w:r w:rsidRPr="005942FA">
        <w:t xml:space="preserve">, Communication No. 2/2014, 13 Oct. 2015 (E/C.12/55/D/2/2014). </w:t>
      </w:r>
    </w:p>
  </w:footnote>
  <w:footnote w:id="12">
    <w:p w:rsidR="006854E2" w:rsidRPr="005942FA" w:rsidRDefault="006854E2" w:rsidP="006854E2">
      <w:pPr>
        <w:pStyle w:val="FootnoteText"/>
        <w:rPr>
          <w:lang w:val="en-US"/>
        </w:rPr>
      </w:pPr>
      <w:r>
        <w:rPr>
          <w:rFonts w:eastAsia="Verdana"/>
          <w:lang w:val="en-US"/>
        </w:rPr>
        <w:tab/>
      </w:r>
      <w:r w:rsidRPr="005942FA">
        <w:rPr>
          <w:rFonts w:eastAsia="Verdana"/>
          <w:vertAlign w:val="superscript"/>
          <w:lang w:val="en-US"/>
        </w:rPr>
        <w:footnoteRef/>
      </w:r>
      <w:r>
        <w:rPr>
          <w:rFonts w:eastAsia="Verdana"/>
          <w:lang w:val="en-US"/>
        </w:rPr>
        <w:tab/>
      </w:r>
      <w:r w:rsidRPr="005942FA">
        <w:rPr>
          <w:rFonts w:eastAsia="Verdana"/>
          <w:lang w:val="en-US"/>
        </w:rPr>
        <w:t xml:space="preserve">E/C.12/2011/1 (Statement on the obligations of States parties regarding the corporate sector and economic, social and cultural rights), para. 7. </w:t>
      </w:r>
    </w:p>
  </w:footnote>
  <w:footnote w:id="13">
    <w:p w:rsidR="006854E2" w:rsidRPr="005942FA" w:rsidRDefault="006854E2" w:rsidP="006854E2">
      <w:pPr>
        <w:pStyle w:val="FootnoteText"/>
        <w:rPr>
          <w:lang w:val="nl-NL"/>
        </w:rPr>
      </w:pPr>
      <w:r>
        <w:rPr>
          <w:lang w:val="fr-CH"/>
        </w:rPr>
        <w:tab/>
      </w:r>
      <w:r w:rsidRPr="005942FA">
        <w:rPr>
          <w:rStyle w:val="FootnoteReference"/>
          <w:szCs w:val="18"/>
        </w:rPr>
        <w:footnoteRef/>
      </w:r>
      <w:r>
        <w:rPr>
          <w:lang w:val="fr-CH"/>
        </w:rPr>
        <w:tab/>
      </w:r>
      <w:r w:rsidRPr="005942FA">
        <w:t>The ILO Tripartite Declaration of Principles concerning Multinational Enterprises and Social Policy, initially adopted in 1976 and revised in 2017, encourages the positive contributions of enterprises to society for the implementation of the principles underlying international labour standards.</w:t>
      </w:r>
    </w:p>
  </w:footnote>
  <w:footnote w:id="14">
    <w:p w:rsidR="006854E2" w:rsidRPr="005942FA" w:rsidRDefault="006854E2" w:rsidP="006854E2">
      <w:pPr>
        <w:pStyle w:val="FootnoteText"/>
        <w:rPr>
          <w:lang w:val="nl-NL"/>
        </w:rPr>
      </w:pPr>
      <w:r>
        <w:rPr>
          <w:lang w:val="fr-CH"/>
        </w:rPr>
        <w:tab/>
      </w:r>
      <w:r w:rsidRPr="005942FA">
        <w:rPr>
          <w:rStyle w:val="FootnoteReference"/>
          <w:szCs w:val="18"/>
        </w:rPr>
        <w:footnoteRef/>
      </w:r>
      <w:r w:rsidRPr="007A3EF7">
        <w:rPr>
          <w:lang w:val="en-US"/>
        </w:rPr>
        <w:tab/>
      </w:r>
      <w:r w:rsidRPr="005942FA">
        <w:rPr>
          <w:lang w:val="nl-NL"/>
        </w:rPr>
        <w:t>Recommendation CM/Rev(2016)3 of the Committee of Ministers of the Council of Europe on business and human rights, adopted on 2 March 2016 at the 1249th meeting of the Ministers' Deputies.</w:t>
      </w:r>
    </w:p>
  </w:footnote>
  <w:footnote w:id="15">
    <w:p w:rsidR="006854E2" w:rsidRPr="005942FA" w:rsidRDefault="006854E2" w:rsidP="006854E2">
      <w:pPr>
        <w:pStyle w:val="FootnoteText"/>
      </w:pPr>
      <w:r w:rsidRPr="007A3EF7">
        <w:rPr>
          <w:lang w:val="en-US"/>
        </w:rPr>
        <w:tab/>
      </w:r>
      <w:r w:rsidRPr="005942FA">
        <w:rPr>
          <w:rStyle w:val="FootnoteReference"/>
          <w:rFonts w:eastAsia="Calibri"/>
          <w:szCs w:val="18"/>
        </w:rPr>
        <w:footnoteRef/>
      </w:r>
      <w:r w:rsidRPr="007A3EF7">
        <w:rPr>
          <w:lang w:val="en-US"/>
        </w:rPr>
        <w:tab/>
      </w:r>
      <w:r w:rsidRPr="005942FA">
        <w:t>A/HRC/17/31, endorsed by the Human Rights Council in Res. 17/4.</w:t>
      </w:r>
    </w:p>
  </w:footnote>
  <w:footnote w:id="16">
    <w:p w:rsidR="006854E2" w:rsidRPr="005942FA" w:rsidRDefault="006854E2" w:rsidP="006854E2">
      <w:pPr>
        <w:pStyle w:val="FootnoteText"/>
      </w:pPr>
      <w:r w:rsidRPr="007A3EF7">
        <w:rPr>
          <w:lang w:val="en-US"/>
        </w:rPr>
        <w:tab/>
      </w:r>
      <w:r w:rsidRPr="005942FA">
        <w:rPr>
          <w:rStyle w:val="FootnoteReference"/>
          <w:rFonts w:eastAsia="Calibri"/>
          <w:szCs w:val="18"/>
        </w:rPr>
        <w:footnoteRef/>
      </w:r>
      <w:r w:rsidRPr="007A3EF7">
        <w:rPr>
          <w:lang w:val="en-US"/>
        </w:rPr>
        <w:tab/>
      </w:r>
      <w:r w:rsidRPr="005942FA">
        <w:t xml:space="preserve">A/HRC/4/35/Add.1 (State responsibilities to regulate and adjudicate corporate activities under the United Nations core human rights treaties: an overview). </w:t>
      </w:r>
    </w:p>
  </w:footnote>
  <w:footnote w:id="17">
    <w:p w:rsidR="006854E2" w:rsidRPr="005942FA" w:rsidRDefault="006854E2" w:rsidP="006854E2">
      <w:pPr>
        <w:pStyle w:val="FootnoteText"/>
        <w:rPr>
          <w:lang w:val="nl-NL"/>
        </w:rPr>
      </w:pPr>
      <w:r w:rsidRPr="007A3EF7">
        <w:rPr>
          <w:lang w:val="en-US"/>
        </w:rPr>
        <w:tab/>
      </w:r>
      <w:r w:rsidRPr="005942FA">
        <w:rPr>
          <w:rStyle w:val="FootnoteReference"/>
          <w:szCs w:val="18"/>
        </w:rPr>
        <w:footnoteRef/>
      </w:r>
      <w:r w:rsidRPr="007A3EF7">
        <w:rPr>
          <w:lang w:val="en-US"/>
        </w:rPr>
        <w:tab/>
      </w:r>
      <w:r w:rsidRPr="00CE287C">
        <w:rPr>
          <w:i/>
          <w:lang w:val="nl-NL"/>
        </w:rPr>
        <w:t>See, e.g</w:t>
      </w:r>
      <w:r w:rsidRPr="005942FA">
        <w:rPr>
          <w:lang w:val="nl-NL"/>
        </w:rPr>
        <w:t xml:space="preserve">., Constitutional Court of South Africa, </w:t>
      </w:r>
      <w:r w:rsidRPr="005942FA">
        <w:rPr>
          <w:i/>
          <w:lang w:val="nl-NL"/>
        </w:rPr>
        <w:t>Daniels v. Scribante, et al.</w:t>
      </w:r>
      <w:r w:rsidRPr="005942FA">
        <w:rPr>
          <w:lang w:val="nl-NL"/>
        </w:rPr>
        <w:t>, CCT 50/16, judgment of 11 May 2017, paras. 37-39 (leading judgment by Madlanga, J) (positive duties imposed on the owner to ensure the right to security of tenure in conditions that comply with the requirements of human dignity).</w:t>
      </w:r>
    </w:p>
  </w:footnote>
  <w:footnote w:id="18">
    <w:p w:rsidR="006854E2" w:rsidRPr="005942FA" w:rsidRDefault="006854E2" w:rsidP="006854E2">
      <w:pPr>
        <w:pStyle w:val="FootnoteText"/>
      </w:pPr>
      <w:r>
        <w:rPr>
          <w:lang w:val="fr-CH"/>
        </w:rPr>
        <w:tab/>
      </w:r>
      <w:r w:rsidRPr="005942FA">
        <w:rPr>
          <w:rStyle w:val="FootnoteReference"/>
          <w:szCs w:val="18"/>
        </w:rPr>
        <w:footnoteRef/>
      </w:r>
      <w:r>
        <w:rPr>
          <w:lang w:val="fr-CH"/>
        </w:rPr>
        <w:tab/>
      </w:r>
      <w:r w:rsidRPr="005942FA">
        <w:t>Guiding Principles on Business and Human Rights</w:t>
      </w:r>
      <w:r w:rsidRPr="002235B5">
        <w:t>:</w:t>
      </w:r>
      <w:r>
        <w:t xml:space="preserve"> </w:t>
      </w:r>
      <w:r w:rsidRPr="002235B5">
        <w:t>Implementing the United Nations “Protect, Respect and</w:t>
      </w:r>
      <w:r>
        <w:t xml:space="preserve"> </w:t>
      </w:r>
      <w:r w:rsidRPr="002235B5">
        <w:t>Remedy” Framework</w:t>
      </w:r>
      <w:r>
        <w:t xml:space="preserve"> (“Guiding Principles”)</w:t>
      </w:r>
      <w:r w:rsidRPr="005942FA">
        <w:t>, Principle 11 and Commentary.</w:t>
      </w:r>
    </w:p>
  </w:footnote>
  <w:footnote w:id="19">
    <w:p w:rsidR="006854E2" w:rsidRPr="005942FA" w:rsidRDefault="006854E2" w:rsidP="006854E2">
      <w:pPr>
        <w:pStyle w:val="FootnoteText"/>
      </w:pPr>
      <w:r>
        <w:rPr>
          <w:lang w:val="fr-CH"/>
        </w:rPr>
        <w:tab/>
      </w:r>
      <w:r w:rsidRPr="005942FA">
        <w:rPr>
          <w:rStyle w:val="FootnoteReference"/>
          <w:szCs w:val="18"/>
        </w:rPr>
        <w:footnoteRef/>
      </w:r>
      <w:r>
        <w:rPr>
          <w:lang w:val="fr-CH"/>
        </w:rPr>
        <w:tab/>
      </w:r>
      <w:r w:rsidRPr="005942FA">
        <w:t xml:space="preserve">ILO Recommendation (No. 130) concerning the Examination of Grievances within the Undertaking with a View to Their Settlement. </w:t>
      </w:r>
    </w:p>
  </w:footnote>
  <w:footnote w:id="20">
    <w:p w:rsidR="006854E2" w:rsidRPr="005942FA" w:rsidRDefault="006854E2" w:rsidP="006854E2">
      <w:pPr>
        <w:pStyle w:val="FootnoteText"/>
      </w:pPr>
      <w:r>
        <w:rPr>
          <w:lang w:val="fr-CH"/>
        </w:rPr>
        <w:tab/>
      </w:r>
      <w:r w:rsidRPr="005942FA">
        <w:rPr>
          <w:rStyle w:val="FootnoteReference"/>
          <w:rFonts w:eastAsia="Calibri"/>
          <w:szCs w:val="18"/>
        </w:rPr>
        <w:footnoteRef/>
      </w:r>
      <w:r w:rsidRPr="007A3EF7">
        <w:rPr>
          <w:lang w:val="en-US"/>
        </w:rPr>
        <w:tab/>
      </w:r>
      <w:r w:rsidRPr="005942FA">
        <w:rPr>
          <w:i/>
        </w:rPr>
        <w:t>See</w:t>
      </w:r>
      <w:r w:rsidRPr="005942FA">
        <w:t>,</w:t>
      </w:r>
      <w:r w:rsidRPr="005942FA">
        <w:rPr>
          <w:i/>
        </w:rPr>
        <w:t xml:space="preserve"> e.g.</w:t>
      </w:r>
      <w:r w:rsidRPr="005942FA">
        <w:t xml:space="preserve">, GC 18, paras. 13-14; </w:t>
      </w:r>
      <w:r w:rsidRPr="00D7223A">
        <w:rPr>
          <w:rFonts w:eastAsia="Verdana"/>
        </w:rPr>
        <w:t>E/C.12/GC/20 (General Comment No. 20</w:t>
      </w:r>
      <w:r w:rsidRPr="00422E2C">
        <w:rPr>
          <w:rFonts w:eastAsia="Verdana"/>
        </w:rPr>
        <w:t xml:space="preserve"> (2009)</w:t>
      </w:r>
      <w:r w:rsidRPr="00D7223A">
        <w:rPr>
          <w:rFonts w:eastAsia="Verdana"/>
        </w:rPr>
        <w:t>: Non-discrimination in economic, social and cultural rights (art. 2, para. 2</w:t>
      </w:r>
      <w:r w:rsidRPr="00422E2C">
        <w:rPr>
          <w:rFonts w:eastAsia="Verdana"/>
        </w:rPr>
        <w:t>)</w:t>
      </w:r>
      <w:r w:rsidRPr="00D7223A">
        <w:rPr>
          <w:rFonts w:eastAsia="Verdana"/>
        </w:rPr>
        <w:t xml:space="preserve">) </w:t>
      </w:r>
      <w:r w:rsidRPr="005942FA">
        <w:t xml:space="preserve">(“GC </w:t>
      </w:r>
      <w:r w:rsidRPr="00422E2C">
        <w:t>20</w:t>
      </w:r>
      <w:r w:rsidRPr="005942FA">
        <w:t>”), para. 32; E/1996/22 (General Comment No. 6: The Economic, Social and Cultural Rig</w:t>
      </w:r>
      <w:r w:rsidR="004A3C0B">
        <w:t xml:space="preserve">hts of Older Persons), para. 22; </w:t>
      </w:r>
      <w:r w:rsidRPr="005942FA">
        <w:t>E/1992/23 (General Comment No. 4 (1991): The right to adequate housing), para. 14.</w:t>
      </w:r>
    </w:p>
  </w:footnote>
  <w:footnote w:id="21">
    <w:p w:rsidR="002A562B" w:rsidRPr="002A562B" w:rsidRDefault="002A562B">
      <w:pPr>
        <w:pStyle w:val="FootnoteText"/>
        <w:rPr>
          <w:lang w:val="fr-CH"/>
        </w:rPr>
      </w:pPr>
      <w:r>
        <w:tab/>
      </w:r>
      <w:r>
        <w:rPr>
          <w:rStyle w:val="FootnoteReference"/>
        </w:rPr>
        <w:footnoteRef/>
      </w:r>
      <w:r w:rsidRPr="007A3EF7">
        <w:rPr>
          <w:lang w:val="es-MX"/>
        </w:rPr>
        <w:tab/>
      </w:r>
      <w:r w:rsidRPr="007A3EF7">
        <w:rPr>
          <w:rFonts w:eastAsia="Verdana"/>
          <w:lang w:val="es-MX"/>
        </w:rPr>
        <w:t>See, e.g., GC 4, para.</w:t>
      </w:r>
      <w:r w:rsidR="004A3C0B" w:rsidRPr="007A3EF7">
        <w:rPr>
          <w:rFonts w:eastAsia="Verdana"/>
          <w:lang w:val="es-MX"/>
        </w:rPr>
        <w:t xml:space="preserve">17; </w:t>
      </w:r>
      <w:r w:rsidRPr="007A3EF7">
        <w:rPr>
          <w:rFonts w:eastAsia="Verdana"/>
          <w:lang w:val="es-MX"/>
        </w:rPr>
        <w:t xml:space="preserve">GC 20, para. </w:t>
      </w:r>
      <w:r w:rsidRPr="002A562B">
        <w:rPr>
          <w:rFonts w:eastAsia="Verdana"/>
        </w:rPr>
        <w:t>11.</w:t>
      </w:r>
    </w:p>
  </w:footnote>
  <w:footnote w:id="22">
    <w:p w:rsidR="006854E2" w:rsidRPr="005942FA" w:rsidRDefault="006854E2" w:rsidP="006854E2">
      <w:pPr>
        <w:pStyle w:val="FootnoteText"/>
      </w:pPr>
      <w:r>
        <w:rPr>
          <w:rFonts w:eastAsia="Verdana"/>
          <w:lang w:val="fr-CH"/>
        </w:rPr>
        <w:tab/>
      </w:r>
      <w:r w:rsidRPr="005942FA">
        <w:rPr>
          <w:rFonts w:eastAsia="Verdana"/>
          <w:shd w:val="clear" w:color="auto" w:fill="FEFEFE"/>
          <w:vertAlign w:val="superscript"/>
        </w:rPr>
        <w:footnoteRef/>
      </w:r>
      <w:r>
        <w:rPr>
          <w:rFonts w:eastAsia="Verdana"/>
          <w:lang w:val="fr-CH"/>
        </w:rPr>
        <w:tab/>
      </w:r>
      <w:r>
        <w:rPr>
          <w:rFonts w:eastAsia="Verdana"/>
        </w:rPr>
        <w:t>GC 20</w:t>
      </w:r>
      <w:r w:rsidRPr="005942FA">
        <w:rPr>
          <w:rFonts w:eastAsia="Verdana"/>
        </w:rPr>
        <w:t xml:space="preserve">, paras. 7-8. </w:t>
      </w:r>
      <w:r w:rsidRPr="005942FA" w:rsidDel="00814CDB">
        <w:rPr>
          <w:rFonts w:eastAsia="Verdana"/>
        </w:rPr>
        <w:t xml:space="preserve"> </w:t>
      </w:r>
    </w:p>
  </w:footnote>
  <w:footnote w:id="23">
    <w:p w:rsidR="006854E2" w:rsidRPr="005942FA" w:rsidRDefault="006854E2" w:rsidP="006854E2">
      <w:pPr>
        <w:pStyle w:val="FootnoteText"/>
      </w:pPr>
      <w:r>
        <w:rPr>
          <w:lang w:val="fr-CH"/>
        </w:rPr>
        <w:tab/>
      </w:r>
      <w:r w:rsidRPr="005942FA">
        <w:rPr>
          <w:rStyle w:val="FootnoteReference"/>
          <w:rFonts w:eastAsia="Calibri"/>
          <w:szCs w:val="18"/>
        </w:rPr>
        <w:footnoteRef/>
      </w:r>
      <w:r w:rsidRPr="007A3EF7">
        <w:rPr>
          <w:lang w:val="en-US"/>
        </w:rPr>
        <w:tab/>
      </w:r>
      <w:proofErr w:type="gramStart"/>
      <w:r w:rsidRPr="005942FA">
        <w:t>Ibid.</w:t>
      </w:r>
      <w:r w:rsidRPr="007A3EF7">
        <w:rPr>
          <w:lang w:val="en-US"/>
        </w:rPr>
        <w:t>,</w:t>
      </w:r>
      <w:proofErr w:type="gramEnd"/>
      <w:r w:rsidRPr="005942FA">
        <w:t xml:space="preserve"> paras. 8, 11. </w:t>
      </w:r>
    </w:p>
  </w:footnote>
  <w:footnote w:id="24">
    <w:p w:rsidR="006854E2" w:rsidRPr="005942FA" w:rsidRDefault="006854E2" w:rsidP="006854E2">
      <w:pPr>
        <w:pStyle w:val="FootnoteText"/>
        <w:rPr>
          <w:i/>
        </w:rPr>
      </w:pPr>
      <w:r w:rsidRPr="007A3EF7">
        <w:rPr>
          <w:lang w:val="en-US"/>
        </w:rPr>
        <w:tab/>
      </w:r>
      <w:r w:rsidRPr="005942FA">
        <w:rPr>
          <w:rStyle w:val="FootnoteReference"/>
          <w:szCs w:val="18"/>
        </w:rPr>
        <w:footnoteRef/>
      </w:r>
      <w:r w:rsidRPr="007A3EF7">
        <w:rPr>
          <w:lang w:val="en-US"/>
        </w:rPr>
        <w:tab/>
      </w:r>
      <w:r w:rsidRPr="005942FA">
        <w:t>Declaration on the Rights of Indigenous Peoples (A/RES/61/295) (2007), art. 32.2.</w:t>
      </w:r>
      <w:r w:rsidRPr="005942FA">
        <w:rPr>
          <w:i/>
        </w:rPr>
        <w:t xml:space="preserve"> </w:t>
      </w:r>
    </w:p>
  </w:footnote>
  <w:footnote w:id="25">
    <w:p w:rsidR="006854E2" w:rsidRPr="005942FA" w:rsidRDefault="006854E2" w:rsidP="006854E2">
      <w:pPr>
        <w:pStyle w:val="FootnoteText"/>
        <w:rPr>
          <w:lang w:val="nl-NL"/>
        </w:rPr>
      </w:pPr>
      <w:r w:rsidRPr="007A3EF7">
        <w:rPr>
          <w:lang w:val="en-US"/>
        </w:rPr>
        <w:tab/>
      </w:r>
      <w:r w:rsidRPr="005942FA">
        <w:rPr>
          <w:rStyle w:val="FootnoteReference"/>
          <w:szCs w:val="18"/>
        </w:rPr>
        <w:footnoteRef/>
      </w:r>
      <w:r w:rsidRPr="007A3EF7">
        <w:rPr>
          <w:lang w:val="en-US"/>
        </w:rPr>
        <w:tab/>
      </w:r>
      <w:r w:rsidRPr="005942FA">
        <w:t xml:space="preserve">Statement on the Duties of States towards Refugees and Migrants under the International Covenant on Economic, Social and Cultural Rights (E/C.12/2017/1) (24 Feb. 2017); GC </w:t>
      </w:r>
      <w:r w:rsidRPr="00422E2C">
        <w:t>23</w:t>
      </w:r>
      <w:proofErr w:type="gramStart"/>
      <w:r w:rsidRPr="00422E2C">
        <w:t>,</w:t>
      </w:r>
      <w:r w:rsidRPr="005942FA" w:rsidDel="002235B5">
        <w:rPr>
          <w:noProof/>
          <w:lang w:val="en-US"/>
        </w:rPr>
        <w:t xml:space="preserve"> </w:t>
      </w:r>
      <w:r w:rsidRPr="005942FA">
        <w:rPr>
          <w:noProof/>
          <w:lang w:val="en-US"/>
        </w:rPr>
        <w:t>,</w:t>
      </w:r>
      <w:proofErr w:type="gramEnd"/>
      <w:r w:rsidRPr="005942FA">
        <w:rPr>
          <w:noProof/>
          <w:lang w:val="en-US"/>
        </w:rPr>
        <w:t xml:space="preserve"> para. </w:t>
      </w:r>
      <w:r w:rsidRPr="005942FA">
        <w:rPr>
          <w:noProof/>
          <w:lang w:val="es-ES"/>
        </w:rPr>
        <w:t>47(e). .</w:t>
      </w:r>
    </w:p>
  </w:footnote>
  <w:footnote w:id="26">
    <w:p w:rsidR="006854E2" w:rsidRPr="005942FA" w:rsidRDefault="006854E2" w:rsidP="006854E2">
      <w:pPr>
        <w:pStyle w:val="FootnoteText"/>
      </w:pPr>
      <w:r>
        <w:rPr>
          <w:lang w:val="fr-CH"/>
        </w:rPr>
        <w:tab/>
      </w:r>
      <w:r w:rsidRPr="005942FA">
        <w:rPr>
          <w:rStyle w:val="FootnoteReference"/>
          <w:rFonts w:eastAsia="Calibri"/>
          <w:szCs w:val="18"/>
        </w:rPr>
        <w:footnoteRef/>
      </w:r>
      <w:r>
        <w:rPr>
          <w:lang w:val="fr-CH"/>
        </w:rPr>
        <w:tab/>
      </w:r>
      <w:r w:rsidRPr="005942FA">
        <w:t xml:space="preserve">GC 20, para. 17. </w:t>
      </w:r>
    </w:p>
  </w:footnote>
  <w:footnote w:id="27">
    <w:p w:rsidR="006854E2" w:rsidRPr="005942FA" w:rsidRDefault="006854E2" w:rsidP="006854E2">
      <w:pPr>
        <w:pStyle w:val="FootnoteText"/>
      </w:pPr>
      <w:r>
        <w:rPr>
          <w:lang w:val="fr-CH"/>
        </w:rPr>
        <w:tab/>
      </w:r>
      <w:r w:rsidRPr="005942FA">
        <w:rPr>
          <w:rStyle w:val="FootnoteReference"/>
          <w:rFonts w:eastAsia="Calibri"/>
          <w:szCs w:val="18"/>
        </w:rPr>
        <w:footnoteRef/>
      </w:r>
      <w:r>
        <w:rPr>
          <w:lang w:val="fr-CH"/>
        </w:rPr>
        <w:tab/>
      </w:r>
      <w:r w:rsidRPr="005942FA">
        <w:t xml:space="preserve">UNHCR &amp; UN Habitat, </w:t>
      </w:r>
      <w:r w:rsidRPr="005942FA">
        <w:rPr>
          <w:i/>
        </w:rPr>
        <w:t>Forced Evictions</w:t>
      </w:r>
      <w:r w:rsidRPr="005942FA">
        <w:t>, Fact Sheet No. 25/Rev.1 (2014), p. 16.</w:t>
      </w:r>
    </w:p>
  </w:footnote>
  <w:footnote w:id="28">
    <w:p w:rsidR="006854E2" w:rsidRPr="005942FA" w:rsidRDefault="006854E2" w:rsidP="006854E2">
      <w:pPr>
        <w:pStyle w:val="FootnoteText"/>
        <w:rPr>
          <w:lang w:val="en-US"/>
        </w:rPr>
      </w:pPr>
      <w:r>
        <w:rPr>
          <w:rFonts w:eastAsia="Verdana"/>
          <w:lang w:val="en-US"/>
        </w:rPr>
        <w:tab/>
      </w:r>
      <w:r w:rsidRPr="005942FA">
        <w:rPr>
          <w:rFonts w:eastAsia="Verdana"/>
          <w:vertAlign w:val="superscript"/>
          <w:lang w:val="en-US"/>
        </w:rPr>
        <w:footnoteRef/>
      </w:r>
      <w:r>
        <w:rPr>
          <w:rFonts w:eastAsia="Verdana"/>
          <w:lang w:val="en-US"/>
        </w:rPr>
        <w:tab/>
      </w:r>
      <w:r w:rsidRPr="005942FA">
        <w:rPr>
          <w:rFonts w:eastAsia="Verdana"/>
          <w:lang w:val="en-US"/>
        </w:rPr>
        <w:t xml:space="preserve">A/HRC/26/39 (Report of the Working Group on the issue of discrimination against women in law </w:t>
      </w:r>
      <w:r>
        <w:rPr>
          <w:rFonts w:eastAsia="Verdana"/>
          <w:lang w:val="en-US"/>
        </w:rPr>
        <w:t xml:space="preserve">and in practice), paras. 48-50. </w:t>
      </w:r>
      <w:r w:rsidRPr="00555F4D">
        <w:rPr>
          <w:rFonts w:eastAsia="Verdana"/>
          <w:i/>
          <w:lang w:val="en-US"/>
        </w:rPr>
        <w:t>See also</w:t>
      </w:r>
      <w:r>
        <w:rPr>
          <w:rFonts w:eastAsia="Verdana"/>
          <w:lang w:val="en-US"/>
        </w:rPr>
        <w:t xml:space="preserve"> </w:t>
      </w:r>
      <w:r w:rsidRPr="005942FA">
        <w:rPr>
          <w:rFonts w:eastAsia="Verdana"/>
          <w:lang w:val="en-US"/>
        </w:rPr>
        <w:t>Guidance to States in how to adopt measures to promote workers’ rights and social protection in the informal economy while adopting and implementing an integrated policy framework to cover the informal economy can be found in the ILO Recommendation (No. 204) on the Transition from the Informal to the Formal Economy.</w:t>
      </w:r>
    </w:p>
  </w:footnote>
  <w:footnote w:id="29">
    <w:p w:rsidR="006854E2" w:rsidRPr="005942FA" w:rsidRDefault="006854E2" w:rsidP="006854E2">
      <w:pPr>
        <w:pStyle w:val="FootnoteText"/>
      </w:pPr>
      <w:r>
        <w:rPr>
          <w:lang w:val="fr-CH"/>
        </w:rPr>
        <w:tab/>
      </w:r>
      <w:r w:rsidRPr="005942FA">
        <w:rPr>
          <w:rStyle w:val="FootnoteReference"/>
          <w:rFonts w:eastAsia="Calibri"/>
          <w:szCs w:val="18"/>
        </w:rPr>
        <w:footnoteRef/>
      </w:r>
      <w:r>
        <w:rPr>
          <w:lang w:val="fr-CH"/>
        </w:rPr>
        <w:tab/>
      </w:r>
      <w:proofErr w:type="gramStart"/>
      <w:r w:rsidRPr="005942FA">
        <w:t>Ibid.</w:t>
      </w:r>
      <w:r>
        <w:rPr>
          <w:lang w:val="fr-CH"/>
        </w:rPr>
        <w:t>,</w:t>
      </w:r>
      <w:proofErr w:type="gramEnd"/>
      <w:r w:rsidRPr="005942FA">
        <w:t xml:space="preserve"> paras. 57-62.</w:t>
      </w:r>
    </w:p>
  </w:footnote>
  <w:footnote w:id="30">
    <w:p w:rsidR="006854E2" w:rsidRPr="005942FA" w:rsidRDefault="006854E2" w:rsidP="006854E2">
      <w:pPr>
        <w:pStyle w:val="FootnoteText"/>
        <w:rPr>
          <w:lang w:val="en-US"/>
        </w:rPr>
      </w:pPr>
      <w:r>
        <w:rPr>
          <w:lang w:val="en-US"/>
        </w:rPr>
        <w:tab/>
      </w:r>
      <w:r w:rsidRPr="005942FA">
        <w:rPr>
          <w:rFonts w:eastAsia="Verdana"/>
          <w:vertAlign w:val="superscript"/>
          <w:lang w:val="en-US"/>
        </w:rPr>
        <w:footnoteRef/>
      </w:r>
      <w:r>
        <w:rPr>
          <w:lang w:val="en-US"/>
        </w:rPr>
        <w:tab/>
      </w:r>
      <w:r w:rsidRPr="005942FA">
        <w:rPr>
          <w:lang w:val="en-US"/>
        </w:rPr>
        <w:t xml:space="preserve">Working Group on Business and Human Rights, </w:t>
      </w:r>
      <w:r w:rsidRPr="005942FA">
        <w:rPr>
          <w:i/>
          <w:lang w:val="en-US"/>
        </w:rPr>
        <w:t>Guidance on National Action Plans on Business and Human Rights</w:t>
      </w:r>
      <w:r w:rsidRPr="005942FA">
        <w:rPr>
          <w:lang w:val="en-US"/>
        </w:rPr>
        <w:t xml:space="preserve"> (1 December 2014). </w:t>
      </w:r>
    </w:p>
  </w:footnote>
  <w:footnote w:id="31">
    <w:p w:rsidR="006854E2" w:rsidRPr="005942FA" w:rsidRDefault="006854E2" w:rsidP="006854E2">
      <w:pPr>
        <w:pStyle w:val="FootnoteText"/>
      </w:pPr>
      <w:r>
        <w:rPr>
          <w:lang w:val="fr-CH"/>
        </w:rPr>
        <w:tab/>
      </w:r>
      <w:r w:rsidRPr="005942FA">
        <w:rPr>
          <w:rStyle w:val="FootnoteReference"/>
          <w:rFonts w:eastAsia="Calibri"/>
          <w:szCs w:val="18"/>
        </w:rPr>
        <w:footnoteRef/>
      </w:r>
      <w:r w:rsidRPr="007A3EF7">
        <w:rPr>
          <w:lang w:val="en-US"/>
        </w:rPr>
        <w:tab/>
      </w:r>
      <w:r w:rsidRPr="005942FA">
        <w:t>Articles on Responsibility of States for Internationally Wrongful Acts, with Commentaries adopted by the International Law Commission, Report of the International Law Commission on the Work of its 53</w:t>
      </w:r>
      <w:r w:rsidRPr="005942FA">
        <w:rPr>
          <w:vertAlign w:val="superscript"/>
        </w:rPr>
        <w:t>rd</w:t>
      </w:r>
      <w:r w:rsidRPr="005942FA">
        <w:t xml:space="preserve"> session (23 April to 1 June and 2 July to 10 August 2001), A/56/10, art. 8. </w:t>
      </w:r>
      <w:r w:rsidRPr="00C81064">
        <w:rPr>
          <w:i/>
        </w:rPr>
        <w:t>See also</w:t>
      </w:r>
      <w:r w:rsidRPr="005942FA">
        <w:t xml:space="preserve"> A/RES/56/83 (</w:t>
      </w:r>
      <w:r>
        <w:t xml:space="preserve">28 </w:t>
      </w:r>
      <w:r w:rsidRPr="005942FA">
        <w:t>Jan</w:t>
      </w:r>
      <w:r>
        <w:t xml:space="preserve">uary </w:t>
      </w:r>
      <w:r w:rsidRPr="005942FA">
        <w:t>2002); A/RES/59/35 (2 December 2004); A/RES/62/61 (6 December 2007); and A/RES/65/19 (6 December 2010)</w:t>
      </w:r>
      <w:r>
        <w:t>; and A/RES/ 68/104 (</w:t>
      </w:r>
      <w:r w:rsidRPr="005D54B4">
        <w:t>16 December 2013</w:t>
      </w:r>
      <w:r>
        <w:t>)</w:t>
      </w:r>
      <w:r w:rsidRPr="005942FA">
        <w:t xml:space="preserve">.  </w:t>
      </w:r>
    </w:p>
  </w:footnote>
  <w:footnote w:id="32">
    <w:p w:rsidR="006854E2" w:rsidRPr="005942FA" w:rsidRDefault="006854E2" w:rsidP="006854E2">
      <w:pPr>
        <w:pStyle w:val="FootnoteText"/>
        <w:rPr>
          <w:lang w:val="nl-NL"/>
        </w:rPr>
      </w:pPr>
      <w:r>
        <w:rPr>
          <w:lang w:val="fr-CH"/>
        </w:rPr>
        <w:tab/>
      </w:r>
      <w:r w:rsidRPr="005942FA">
        <w:rPr>
          <w:rStyle w:val="FootnoteReference"/>
          <w:szCs w:val="18"/>
        </w:rPr>
        <w:footnoteRef/>
      </w:r>
      <w:r>
        <w:rPr>
          <w:lang w:val="fr-CH"/>
        </w:rPr>
        <w:tab/>
      </w:r>
      <w:r w:rsidRPr="005942FA">
        <w:t>In particular, the responsibility of the State may be engaged if it fails to include labour clauses in public contracts, ensuring the appropriate protection of workers employed by private contractors awarded such contracts. In this regard, States are referred to ILO Convention (No. 94) on Labour Clauses (Public Contracts) and Recommendation (No. 84) on Labour Clauses (Public Contracts).</w:t>
      </w:r>
    </w:p>
  </w:footnote>
  <w:footnote w:id="33">
    <w:p w:rsidR="006854E2" w:rsidRPr="005942FA" w:rsidRDefault="006854E2" w:rsidP="006854E2">
      <w:pPr>
        <w:pStyle w:val="FootnoteText"/>
      </w:pPr>
      <w:r>
        <w:rPr>
          <w:lang w:val="fr-CH"/>
        </w:rPr>
        <w:tab/>
      </w:r>
      <w:r w:rsidRPr="005942FA">
        <w:rPr>
          <w:rStyle w:val="FootnoteReference"/>
          <w:rFonts w:eastAsia="Calibri"/>
          <w:szCs w:val="18"/>
        </w:rPr>
        <w:footnoteRef/>
      </w:r>
      <w:r w:rsidRPr="007A3EF7">
        <w:rPr>
          <w:lang w:val="en-US"/>
        </w:rPr>
        <w:tab/>
      </w:r>
      <w:r w:rsidRPr="005942FA">
        <w:t>Articles on Responsibility of States for Internationally Wrongful Acts,</w:t>
      </w:r>
      <w:r>
        <w:t xml:space="preserve"> </w:t>
      </w:r>
      <w:r w:rsidRPr="005942FA">
        <w:t>art. 5.</w:t>
      </w:r>
    </w:p>
  </w:footnote>
  <w:footnote w:id="34">
    <w:p w:rsidR="006854E2" w:rsidRPr="005942FA" w:rsidRDefault="006854E2" w:rsidP="006854E2">
      <w:pPr>
        <w:pStyle w:val="FootnoteText"/>
      </w:pPr>
      <w:r w:rsidRPr="007A3EF7">
        <w:rPr>
          <w:lang w:val="en-US"/>
        </w:rPr>
        <w:tab/>
      </w:r>
      <w:r w:rsidRPr="005942FA">
        <w:rPr>
          <w:rStyle w:val="FootnoteReference"/>
          <w:rFonts w:eastAsia="Calibri"/>
          <w:szCs w:val="18"/>
        </w:rPr>
        <w:footnoteRef/>
      </w:r>
      <w:r>
        <w:rPr>
          <w:lang w:val="fr-CH"/>
        </w:rPr>
        <w:tab/>
      </w:r>
      <w:proofErr w:type="gramStart"/>
      <w:r w:rsidRPr="005942FA">
        <w:t>Ibid.</w:t>
      </w:r>
      <w:r>
        <w:rPr>
          <w:lang w:val="fr-CH"/>
        </w:rPr>
        <w:t>,</w:t>
      </w:r>
      <w:proofErr w:type="gramEnd"/>
      <w:r w:rsidRPr="005942FA">
        <w:t xml:space="preserve"> art. 9. </w:t>
      </w:r>
    </w:p>
  </w:footnote>
  <w:footnote w:id="35">
    <w:p w:rsidR="006854E2" w:rsidRPr="005942FA" w:rsidRDefault="006854E2" w:rsidP="006854E2">
      <w:pPr>
        <w:pStyle w:val="FootnoteText"/>
        <w:rPr>
          <w:lang w:val="en-US"/>
        </w:rPr>
      </w:pPr>
      <w:r>
        <w:rPr>
          <w:lang w:val="en-US"/>
        </w:rPr>
        <w:tab/>
      </w:r>
      <w:r w:rsidRPr="005942FA">
        <w:rPr>
          <w:rFonts w:eastAsia="Verdana"/>
          <w:vertAlign w:val="superscript"/>
        </w:rPr>
        <w:footnoteRef/>
      </w:r>
      <w:r>
        <w:rPr>
          <w:lang w:val="en-US"/>
        </w:rPr>
        <w:tab/>
      </w:r>
      <w:proofErr w:type="gramStart"/>
      <w:r w:rsidRPr="005942FA">
        <w:rPr>
          <w:lang w:val="en-US"/>
        </w:rPr>
        <w:t>Ibid.</w:t>
      </w:r>
      <w:r>
        <w:rPr>
          <w:lang w:val="en-US"/>
        </w:rPr>
        <w:t>,</w:t>
      </w:r>
      <w:proofErr w:type="gramEnd"/>
      <w:r w:rsidRPr="005942FA">
        <w:rPr>
          <w:lang w:val="en-US"/>
        </w:rPr>
        <w:t xml:space="preserve"> art. 11. </w:t>
      </w:r>
    </w:p>
  </w:footnote>
  <w:footnote w:id="36">
    <w:p w:rsidR="006854E2" w:rsidRPr="005942FA" w:rsidRDefault="006854E2" w:rsidP="006854E2">
      <w:pPr>
        <w:pStyle w:val="FootnoteText"/>
      </w:pPr>
      <w:r>
        <w:rPr>
          <w:lang w:val="fr-CH"/>
        </w:rPr>
        <w:tab/>
      </w:r>
      <w:r w:rsidRPr="005942FA">
        <w:rPr>
          <w:rStyle w:val="FootnoteReference"/>
          <w:rFonts w:eastAsia="Calibri"/>
          <w:szCs w:val="18"/>
        </w:rPr>
        <w:footnoteRef/>
      </w:r>
      <w:r>
        <w:rPr>
          <w:lang w:val="fr-CH"/>
        </w:rPr>
        <w:tab/>
      </w:r>
      <w:r w:rsidRPr="005942FA">
        <w:t xml:space="preserve">E/1998/22/Annex IV (General Comment No. 7 (1997): The right to adequate housing (art. 11)) (“GC 7”), paras. 7 and 18; UNHCR &amp; UN Habitat, </w:t>
      </w:r>
      <w:r w:rsidRPr="005942FA">
        <w:rPr>
          <w:i/>
        </w:rPr>
        <w:t>Forced Evictions</w:t>
      </w:r>
      <w:r w:rsidRPr="005942FA">
        <w:t xml:space="preserve">, Fact Sheet No. 25/Rev.1 (2014), pages 7-8. </w:t>
      </w:r>
      <w:r w:rsidRPr="005942FA">
        <w:rPr>
          <w:i/>
        </w:rPr>
        <w:t>See also, e.g.</w:t>
      </w:r>
      <w:r w:rsidRPr="005942FA">
        <w:t>, A/HRC/25/54/Add.1 (Report of the Special Rapporteur on adequate housing as a component of the right to an adequate standard of living, and on the right to non-discrimination in this context: Mission to Indonesia (2013)), paras. 55, 59-63.</w:t>
      </w:r>
    </w:p>
  </w:footnote>
  <w:footnote w:id="37">
    <w:p w:rsidR="006854E2" w:rsidRPr="005942FA" w:rsidRDefault="006854E2" w:rsidP="006854E2">
      <w:pPr>
        <w:pStyle w:val="FootnoteText"/>
      </w:pPr>
      <w:r>
        <w:rPr>
          <w:lang w:val="fr-CH"/>
        </w:rPr>
        <w:tab/>
      </w:r>
      <w:r w:rsidRPr="005942FA">
        <w:rPr>
          <w:rStyle w:val="FootnoteReference"/>
          <w:szCs w:val="18"/>
        </w:rPr>
        <w:footnoteRef/>
      </w:r>
      <w:r>
        <w:rPr>
          <w:lang w:val="fr-CH"/>
        </w:rPr>
        <w:tab/>
      </w:r>
      <w:r w:rsidRPr="005942FA">
        <w:t>E/C.12/GC/21 (General comment No. 21)</w:t>
      </w:r>
      <w:r>
        <w:t xml:space="preserve"> (2009)</w:t>
      </w:r>
      <w:r w:rsidRPr="005942FA">
        <w:t>: Right of everyone to take part in cultural life (art. 15, para. 1 (a)</w:t>
      </w:r>
      <w:r w:rsidRPr="00422E2C">
        <w:t xml:space="preserve">) </w:t>
      </w:r>
      <w:r w:rsidRPr="005942FA">
        <w:t xml:space="preserve">(“GC </w:t>
      </w:r>
      <w:r w:rsidRPr="00422E2C">
        <w:t>21</w:t>
      </w:r>
      <w:r w:rsidRPr="005942FA">
        <w:t>”</w:t>
      </w:r>
      <w:r w:rsidRPr="00422E2C">
        <w:t>)</w:t>
      </w:r>
      <w:r w:rsidRPr="005942FA">
        <w:t xml:space="preserve"> par</w:t>
      </w:r>
      <w:r>
        <w:t>a.</w:t>
      </w:r>
      <w:r w:rsidRPr="005942FA">
        <w:t xml:space="preserve"> 36. </w:t>
      </w:r>
      <w:r w:rsidRPr="005942FA">
        <w:rPr>
          <w:i/>
        </w:rPr>
        <w:t>See also</w:t>
      </w:r>
      <w:r w:rsidRPr="005942FA">
        <w:t xml:space="preserve"> Declaration on the Rights of Indigenous Peoples, art. 26.</w:t>
      </w:r>
    </w:p>
  </w:footnote>
  <w:footnote w:id="38">
    <w:p w:rsidR="006854E2" w:rsidRPr="005942FA" w:rsidRDefault="006854E2" w:rsidP="006854E2">
      <w:pPr>
        <w:pStyle w:val="FootnoteText"/>
      </w:pPr>
      <w:r>
        <w:rPr>
          <w:lang w:val="fr-CH"/>
        </w:rPr>
        <w:tab/>
      </w:r>
      <w:r w:rsidRPr="005942FA">
        <w:rPr>
          <w:rStyle w:val="FootnoteReference"/>
          <w:szCs w:val="18"/>
        </w:rPr>
        <w:footnoteRef/>
      </w:r>
      <w:r w:rsidRPr="007A3EF7">
        <w:rPr>
          <w:lang w:val="en-US"/>
        </w:rPr>
        <w:tab/>
      </w:r>
      <w:r w:rsidRPr="005942FA">
        <w:t>Declaration on the Rights of Indigenous Peoples, arts 10, 19, 28, 29, 32.</w:t>
      </w:r>
    </w:p>
  </w:footnote>
  <w:footnote w:id="39">
    <w:p w:rsidR="006854E2" w:rsidRPr="005942FA" w:rsidRDefault="006854E2" w:rsidP="006854E2">
      <w:pPr>
        <w:pStyle w:val="FootnoteText"/>
      </w:pPr>
      <w:r w:rsidRPr="007A3EF7">
        <w:rPr>
          <w:lang w:val="en-US"/>
        </w:rPr>
        <w:tab/>
      </w:r>
      <w:r w:rsidRPr="005942FA">
        <w:rPr>
          <w:rStyle w:val="FootnoteReference"/>
          <w:rFonts w:eastAsia="Calibri"/>
          <w:szCs w:val="18"/>
        </w:rPr>
        <w:footnoteRef/>
      </w:r>
      <w:r w:rsidRPr="007A3EF7">
        <w:rPr>
          <w:lang w:val="en-US"/>
        </w:rPr>
        <w:tab/>
      </w:r>
      <w:r w:rsidRPr="005942FA">
        <w:t xml:space="preserve">A/HRC/19/59/Add.5 (Report of the Special Rapporteur on the right to food: Addendum on guiding principles on human rights impact assessments of trade and investment agreements). </w:t>
      </w:r>
      <w:r w:rsidRPr="005942FA">
        <w:rPr>
          <w:i/>
        </w:rPr>
        <w:t>See also</w:t>
      </w:r>
      <w:r w:rsidRPr="005942FA">
        <w:t xml:space="preserve"> </w:t>
      </w:r>
      <w:r w:rsidRPr="005942FA">
        <w:rPr>
          <w:lang w:val="nl-NL"/>
        </w:rPr>
        <w:t>Recommendation CM/</w:t>
      </w:r>
      <w:proofErr w:type="gramStart"/>
      <w:r w:rsidRPr="005942FA">
        <w:rPr>
          <w:lang w:val="nl-NL"/>
        </w:rPr>
        <w:t>Rev(</w:t>
      </w:r>
      <w:proofErr w:type="gramEnd"/>
      <w:r w:rsidRPr="005942FA">
        <w:rPr>
          <w:lang w:val="nl-NL"/>
        </w:rPr>
        <w:t>2016)3 of the Committee of Ministers of the Council of Europe on business and human rights, Annex, para. 23</w:t>
      </w:r>
      <w:r w:rsidRPr="005942FA">
        <w:t>.</w:t>
      </w:r>
    </w:p>
  </w:footnote>
  <w:footnote w:id="40">
    <w:p w:rsidR="006854E2" w:rsidRPr="005942FA" w:rsidRDefault="006854E2" w:rsidP="006854E2">
      <w:pPr>
        <w:pStyle w:val="FootnoteText"/>
      </w:pPr>
      <w:r>
        <w:rPr>
          <w:lang w:val="fr-CH"/>
        </w:rPr>
        <w:tab/>
      </w:r>
      <w:r w:rsidRPr="005942FA">
        <w:rPr>
          <w:rStyle w:val="FootnoteReference"/>
          <w:rFonts w:eastAsia="Calibri"/>
          <w:szCs w:val="18"/>
        </w:rPr>
        <w:footnoteRef/>
      </w:r>
      <w:r w:rsidRPr="007A3EF7">
        <w:rPr>
          <w:lang w:val="en-US"/>
        </w:rPr>
        <w:tab/>
      </w:r>
      <w:r w:rsidRPr="005942FA">
        <w:t xml:space="preserve">Vienna Convention on the Law of Treaties, 23 May 1969, 1155 </w:t>
      </w:r>
      <w:r w:rsidRPr="005942FA">
        <w:rPr>
          <w:rStyle w:val="Emphasis"/>
          <w:szCs w:val="18"/>
        </w:rPr>
        <w:t>U.N.T.S.</w:t>
      </w:r>
      <w:r>
        <w:t xml:space="preserve"> 331, Arts. 26 and 30(</w:t>
      </w:r>
      <w:r w:rsidRPr="005942FA">
        <w:t>4</w:t>
      </w:r>
      <w:r>
        <w:t>)</w:t>
      </w:r>
      <w:r w:rsidRPr="005942FA">
        <w:t xml:space="preserve">, b). </w:t>
      </w:r>
    </w:p>
  </w:footnote>
  <w:footnote w:id="41">
    <w:p w:rsidR="006854E2" w:rsidRPr="005942FA" w:rsidRDefault="006854E2" w:rsidP="006854E2">
      <w:pPr>
        <w:pStyle w:val="FootnoteText"/>
        <w:rPr>
          <w:lang w:val="nl-NL"/>
        </w:rPr>
      </w:pPr>
      <w:r w:rsidRPr="007A3EF7">
        <w:rPr>
          <w:lang w:val="en-US"/>
        </w:rPr>
        <w:tab/>
      </w:r>
      <w:r w:rsidRPr="005942FA">
        <w:rPr>
          <w:rStyle w:val="FootnoteReference"/>
          <w:szCs w:val="18"/>
        </w:rPr>
        <w:footnoteRef/>
      </w:r>
      <w:r w:rsidRPr="007A3EF7">
        <w:rPr>
          <w:lang w:val="en-US"/>
        </w:rPr>
        <w:tab/>
      </w:r>
      <w:r w:rsidRPr="005942FA">
        <w:t xml:space="preserve">Inter-American Court of Human Rights, </w:t>
      </w:r>
      <w:r w:rsidRPr="005942FA">
        <w:rPr>
          <w:i/>
        </w:rPr>
        <w:t>Case of the Sawhoyamaxa Indigenous Community v. Paraguay</w:t>
      </w:r>
      <w:r w:rsidRPr="005942FA">
        <w:t xml:space="preserve"> (Judgment of 29 March 2006, Series C No. 146), para. 140.</w:t>
      </w:r>
    </w:p>
  </w:footnote>
  <w:footnote w:id="42">
    <w:p w:rsidR="006854E2" w:rsidRPr="00BB6CB9" w:rsidRDefault="006854E2" w:rsidP="006854E2">
      <w:pPr>
        <w:pStyle w:val="FootnoteText"/>
        <w:rPr>
          <w:lang w:val="nl-NL"/>
        </w:rPr>
      </w:pPr>
      <w:r>
        <w:rPr>
          <w:lang w:val="fr-CH"/>
        </w:rPr>
        <w:tab/>
      </w:r>
      <w:r>
        <w:rPr>
          <w:rStyle w:val="FootnoteReference"/>
        </w:rPr>
        <w:footnoteRef/>
      </w:r>
      <w:r>
        <w:rPr>
          <w:lang w:val="fr-CH"/>
        </w:rPr>
        <w:tab/>
      </w:r>
      <w:r>
        <w:t xml:space="preserve">Conclusions attached to the </w:t>
      </w:r>
      <w:r>
        <w:rPr>
          <w:lang w:val="nl-NL"/>
        </w:rPr>
        <w:t>Resolution concerning decent work in global supply chains, adopted by the 105th session of the General Conference of the International Labour Organisation (2016), para. 1</w:t>
      </w:r>
      <w:r w:rsidR="00D86C65">
        <w:rPr>
          <w:lang w:val="nl-NL"/>
        </w:rPr>
        <w:t>6</w:t>
      </w:r>
      <w:r>
        <w:rPr>
          <w:lang w:val="nl-NL"/>
        </w:rPr>
        <w:t>, c).</w:t>
      </w:r>
    </w:p>
  </w:footnote>
  <w:footnote w:id="43">
    <w:p w:rsidR="006854E2" w:rsidRPr="005942FA" w:rsidRDefault="006854E2" w:rsidP="006854E2">
      <w:pPr>
        <w:pStyle w:val="FootnoteText"/>
      </w:pPr>
      <w:r>
        <w:rPr>
          <w:rFonts w:eastAsia="Verdana"/>
          <w:lang w:val="en-US"/>
        </w:rPr>
        <w:tab/>
      </w:r>
      <w:r w:rsidRPr="005942FA">
        <w:rPr>
          <w:rFonts w:eastAsia="Verdana"/>
          <w:shd w:val="clear" w:color="auto" w:fill="FEFEFE"/>
          <w:vertAlign w:val="superscript"/>
          <w:lang w:val="en-US"/>
        </w:rPr>
        <w:footnoteRef/>
      </w:r>
      <w:r>
        <w:rPr>
          <w:rFonts w:eastAsia="Verdana"/>
          <w:lang w:val="en-US"/>
        </w:rPr>
        <w:tab/>
      </w:r>
      <w:r w:rsidRPr="005942FA">
        <w:rPr>
          <w:rFonts w:eastAsia="Verdana"/>
          <w:lang w:val="en-US"/>
        </w:rPr>
        <w:t xml:space="preserve">Guiding Principles, at cmt. 17. See the </w:t>
      </w:r>
      <w:r w:rsidRPr="00422E2C">
        <w:t xml:space="preserve">Model Terms of Reference for a review of the coverage and effectiveness of laws relevant to business-related human rights abuses, Annex to the </w:t>
      </w:r>
      <w:r w:rsidRPr="005942FA">
        <w:rPr>
          <w:rFonts w:eastAsia="Verdana"/>
          <w:lang w:val="en-US"/>
        </w:rPr>
        <w:t xml:space="preserve">report on accountability and access to remedy for victims of business-related human rights abuse by the Office of the High Commissioner for Human Rights: </w:t>
      </w:r>
      <w:r w:rsidRPr="005942FA">
        <w:rPr>
          <w:lang w:val="nl-NL"/>
        </w:rPr>
        <w:t>Guidance to improve corporate accountability and access to judicial remedy for business-related human rights abuse (A/HRC/32/19) (and see A/HRC/RES/32/10).</w:t>
      </w:r>
    </w:p>
  </w:footnote>
  <w:footnote w:id="44">
    <w:p w:rsidR="006854E2" w:rsidRPr="005942FA" w:rsidRDefault="006854E2" w:rsidP="006854E2">
      <w:pPr>
        <w:pStyle w:val="FootnoteText"/>
        <w:rPr>
          <w:lang w:val="nl-NL"/>
        </w:rPr>
      </w:pPr>
      <w:r>
        <w:rPr>
          <w:lang w:val="fr-CH"/>
        </w:rPr>
        <w:tab/>
      </w:r>
      <w:r w:rsidRPr="005942FA">
        <w:rPr>
          <w:rStyle w:val="FootnoteReference"/>
          <w:szCs w:val="18"/>
        </w:rPr>
        <w:footnoteRef/>
      </w:r>
      <w:r>
        <w:rPr>
          <w:lang w:val="fr-CH"/>
        </w:rPr>
        <w:tab/>
      </w:r>
      <w:r w:rsidRPr="005942FA">
        <w:rPr>
          <w:lang w:val="nl-NL"/>
        </w:rPr>
        <w:t xml:space="preserve">Guiding Principles, Principles 15 and 17. </w:t>
      </w:r>
    </w:p>
  </w:footnote>
  <w:footnote w:id="45">
    <w:p w:rsidR="006854E2" w:rsidRPr="005942FA" w:rsidRDefault="006854E2" w:rsidP="006854E2">
      <w:pPr>
        <w:pStyle w:val="FootnoteText"/>
      </w:pPr>
      <w:r>
        <w:rPr>
          <w:lang w:val="fr-CH"/>
        </w:rPr>
        <w:tab/>
      </w:r>
      <w:r w:rsidRPr="005942FA">
        <w:rPr>
          <w:rStyle w:val="FootnoteReference"/>
          <w:szCs w:val="18"/>
        </w:rPr>
        <w:footnoteRef/>
      </w:r>
      <w:r>
        <w:rPr>
          <w:lang w:val="fr-CH"/>
        </w:rPr>
        <w:tab/>
      </w:r>
      <w:r w:rsidRPr="005942FA">
        <w:t>A/68/279</w:t>
      </w:r>
      <w:r w:rsidRPr="00422E2C">
        <w:t xml:space="preserve"> (Report of the</w:t>
      </w:r>
      <w:r w:rsidRPr="005942FA">
        <w:t xml:space="preserve"> </w:t>
      </w:r>
      <w:r w:rsidRPr="005942FA">
        <w:rPr>
          <w:lang w:eastAsia="ko-KR"/>
        </w:rPr>
        <w:t>Working Group on the issue of human rights and transnational</w:t>
      </w:r>
      <w:r>
        <w:rPr>
          <w:lang w:eastAsia="ko-KR"/>
        </w:rPr>
        <w:t xml:space="preserve"> corporations and other business enterprises</w:t>
      </w:r>
      <w:r w:rsidRPr="005942FA">
        <w:rPr>
          <w:lang w:eastAsia="ko-KR"/>
        </w:rPr>
        <w:t xml:space="preserve">, </w:t>
      </w:r>
      <w:r w:rsidRPr="005942FA">
        <w:rPr>
          <w:i/>
          <w:lang w:eastAsia="ko-KR"/>
        </w:rPr>
        <w:t>Human rights and transnational corporations and other business enterprises</w:t>
      </w:r>
      <w:r>
        <w:rPr>
          <w:lang w:eastAsia="ko-KR"/>
        </w:rPr>
        <w:t xml:space="preserve"> (7 August 2013)), para. </w:t>
      </w:r>
      <w:r w:rsidRPr="005942FA">
        <w:rPr>
          <w:lang w:eastAsia="ko-KR"/>
        </w:rPr>
        <w:t>31; A Business Reference Guide: United Nations Declaration on the Rights of Indigenous Peoples, p</w:t>
      </w:r>
      <w:r>
        <w:rPr>
          <w:lang w:eastAsia="ko-KR"/>
        </w:rPr>
        <w:t xml:space="preserve">. 15; </w:t>
      </w:r>
      <w:r w:rsidRPr="005942FA">
        <w:rPr>
          <w:lang w:eastAsia="ko-KR"/>
        </w:rPr>
        <w:t>A/HRC/33/42 (Report of the Special Rapporteur on the rights of indigenous peoples to the thirty-third session of the Human Rights Council)</w:t>
      </w:r>
      <w:r>
        <w:rPr>
          <w:lang w:eastAsia="ko-KR"/>
        </w:rPr>
        <w:t xml:space="preserve">; and </w:t>
      </w:r>
      <w:r w:rsidRPr="005942FA">
        <w:t>A/66/288 (Report of the Special Rapporteur on the rights of indigenous peoples to the 66th session of the General Assembly), paras. 92-102.</w:t>
      </w:r>
    </w:p>
  </w:footnote>
  <w:footnote w:id="46">
    <w:p w:rsidR="006854E2" w:rsidRPr="005942FA" w:rsidRDefault="006854E2" w:rsidP="006854E2">
      <w:pPr>
        <w:pStyle w:val="FootnoteText"/>
      </w:pPr>
      <w:r>
        <w:tab/>
      </w:r>
      <w:r w:rsidRPr="005942FA">
        <w:rPr>
          <w:rStyle w:val="FootnoteReference"/>
          <w:szCs w:val="18"/>
        </w:rPr>
        <w:footnoteRef/>
      </w:r>
      <w:r>
        <w:tab/>
      </w:r>
      <w:r w:rsidRPr="005942FA">
        <w:t>A Business Reference Guide: United Nations Declaration on the Rights of Indigenous Peoples, pp. 11-2</w:t>
      </w:r>
      <w:hyperlink r:id="rId1" w:history="1"/>
      <w:r w:rsidRPr="005942FA">
        <w:t xml:space="preserve">; and Declaration on the Rights of Indigenous Peoples, art 19. </w:t>
      </w:r>
    </w:p>
  </w:footnote>
  <w:footnote w:id="47">
    <w:p w:rsidR="006854E2" w:rsidRPr="005942FA" w:rsidRDefault="006854E2" w:rsidP="006854E2">
      <w:pPr>
        <w:pStyle w:val="FootnoteText"/>
        <w:rPr>
          <w:lang w:val="nl-NL"/>
        </w:rPr>
      </w:pPr>
      <w:r w:rsidRPr="007A3EF7">
        <w:rPr>
          <w:lang w:val="en-US"/>
        </w:rPr>
        <w:tab/>
      </w:r>
      <w:r w:rsidRPr="005942FA">
        <w:rPr>
          <w:rStyle w:val="FootnoteReference"/>
          <w:szCs w:val="18"/>
        </w:rPr>
        <w:footnoteRef/>
      </w:r>
      <w:r>
        <w:rPr>
          <w:lang w:val="fr-CH"/>
        </w:rPr>
        <w:tab/>
      </w:r>
      <w:r w:rsidRPr="005942FA">
        <w:t>A/66/288, para. 102.</w:t>
      </w:r>
    </w:p>
  </w:footnote>
  <w:footnote w:id="48">
    <w:p w:rsidR="006854E2" w:rsidRPr="005D04D4" w:rsidRDefault="006854E2" w:rsidP="006854E2">
      <w:pPr>
        <w:pStyle w:val="FootnoteText"/>
        <w:rPr>
          <w:lang w:val="nl-NL"/>
        </w:rPr>
      </w:pPr>
      <w:r>
        <w:rPr>
          <w:lang w:val="fr-CH"/>
        </w:rPr>
        <w:tab/>
      </w:r>
      <w:r>
        <w:rPr>
          <w:rStyle w:val="FootnoteReference"/>
        </w:rPr>
        <w:footnoteRef/>
      </w:r>
      <w:r w:rsidRPr="007A3EF7">
        <w:rPr>
          <w:lang w:val="en-US"/>
        </w:rPr>
        <w:tab/>
      </w:r>
      <w:r w:rsidRPr="005942FA">
        <w:rPr>
          <w:rFonts w:eastAsia="Verdana"/>
          <w:lang w:val="en-US"/>
        </w:rPr>
        <w:t>A/63/263 (Report of the Special Rapporteur on the right of everyone to the enjoyment of the highest attainable standard of physical and mental health</w:t>
      </w:r>
      <w:r w:rsidR="004A3C0B">
        <w:rPr>
          <w:rFonts w:eastAsia="Verdana"/>
          <w:lang w:val="en-US"/>
        </w:rPr>
        <w:t xml:space="preserve"> to the sixty-third session of the General Assembly</w:t>
      </w:r>
      <w:proofErr w:type="gramStart"/>
      <w:r w:rsidRPr="005942FA">
        <w:rPr>
          <w:rFonts w:eastAsia="Verdana"/>
          <w:lang w:val="en-US"/>
        </w:rPr>
        <w:t>)</w:t>
      </w:r>
      <w:r w:rsidR="004A3C0B">
        <w:rPr>
          <w:rFonts w:eastAsia="Verdana"/>
          <w:lang w:val="en-US"/>
        </w:rPr>
        <w:t xml:space="preserve"> ,</w:t>
      </w:r>
      <w:proofErr w:type="gramEnd"/>
      <w:r w:rsidR="004A3C0B" w:rsidRPr="005942FA">
        <w:rPr>
          <w:rFonts w:eastAsia="Verdana"/>
          <w:lang w:val="en-US"/>
        </w:rPr>
        <w:t xml:space="preserve"> A/HRC/11/12(Report of the Special Rapporteur on the right of everyone to the enjoyment of the highest attainable standard of physical and mental health</w:t>
      </w:r>
      <w:r w:rsidR="004A3C0B">
        <w:rPr>
          <w:rFonts w:eastAsia="Verdana"/>
          <w:lang w:val="en-US"/>
        </w:rPr>
        <w:t xml:space="preserve"> to 11th session of the Human Rights Council</w:t>
      </w:r>
      <w:r w:rsidR="004A3C0B" w:rsidRPr="005942FA">
        <w:rPr>
          <w:rFonts w:eastAsia="Verdana"/>
          <w:lang w:val="en-US"/>
        </w:rPr>
        <w:t>)</w:t>
      </w:r>
      <w:r w:rsidRPr="005942FA">
        <w:rPr>
          <w:rFonts w:eastAsia="Verdana"/>
          <w:lang w:val="en-US"/>
        </w:rPr>
        <w:t>.</w:t>
      </w:r>
    </w:p>
  </w:footnote>
  <w:footnote w:id="49">
    <w:p w:rsidR="006854E2" w:rsidRPr="005942FA" w:rsidRDefault="006854E2" w:rsidP="006854E2">
      <w:pPr>
        <w:pStyle w:val="FootnoteText"/>
        <w:rPr>
          <w:lang w:val="nl-NL"/>
        </w:rPr>
      </w:pPr>
      <w:r w:rsidRPr="007A3EF7">
        <w:rPr>
          <w:lang w:val="en-US"/>
        </w:rPr>
        <w:tab/>
      </w:r>
      <w:r w:rsidRPr="005942FA">
        <w:rPr>
          <w:rStyle w:val="FootnoteReference"/>
          <w:szCs w:val="18"/>
        </w:rPr>
        <w:footnoteRef/>
      </w:r>
      <w:r w:rsidRPr="007A3EF7">
        <w:rPr>
          <w:lang w:val="en-US"/>
        </w:rPr>
        <w:tab/>
      </w:r>
      <w:r w:rsidRPr="005942FA">
        <w:rPr>
          <w:lang w:val="nl-NL"/>
        </w:rPr>
        <w:t xml:space="preserve">Report to the thirty-fourth session of the Human Rights Council of the Special Rapporteur on adequate housing as a component of the right to an adequate standard of living, and on the right to non-discrimination in this context, A/HRC/34/51, paras. 62-66. </w:t>
      </w:r>
    </w:p>
  </w:footnote>
  <w:footnote w:id="50">
    <w:p w:rsidR="006854E2" w:rsidRPr="005942FA" w:rsidRDefault="006854E2" w:rsidP="006854E2">
      <w:pPr>
        <w:pStyle w:val="FootnoteText"/>
      </w:pPr>
      <w:r>
        <w:rPr>
          <w:lang w:val="fr-CH"/>
        </w:rPr>
        <w:tab/>
      </w:r>
      <w:r w:rsidRPr="005942FA">
        <w:rPr>
          <w:rStyle w:val="FootnoteReference"/>
          <w:rFonts w:eastAsia="Calibri"/>
          <w:szCs w:val="18"/>
        </w:rPr>
        <w:footnoteRef/>
      </w:r>
      <w:r w:rsidRPr="007A3EF7">
        <w:rPr>
          <w:lang w:val="en-US"/>
        </w:rPr>
        <w:tab/>
      </w:r>
      <w:r w:rsidRPr="005942FA">
        <w:t xml:space="preserve">Convention on the Rights of the Child (Nov. 20, 1989), UN Treaty Series, vol. 1577, p. 3, </w:t>
      </w:r>
      <w:r w:rsidRPr="005942FA">
        <w:rPr>
          <w:i/>
        </w:rPr>
        <w:t>entered into force</w:t>
      </w:r>
      <w:r w:rsidRPr="005942FA">
        <w:t xml:space="preserve"> Sept. 2, 1990; and E/C.12/2005/4 (General Comment No. 16 (2005): The equal rights of men and women to the enjoyment of all economic, social and cultural rights (art. 3))</w:t>
      </w:r>
      <w:r w:rsidRPr="00422E2C">
        <w:t xml:space="preserve"> (</w:t>
      </w:r>
      <w:r w:rsidRPr="005942FA">
        <w:t xml:space="preserve">“GC </w:t>
      </w:r>
      <w:r w:rsidRPr="00422E2C">
        <w:t>16</w:t>
      </w:r>
      <w:r w:rsidRPr="005942FA">
        <w:t>”</w:t>
      </w:r>
      <w:r w:rsidRPr="00422E2C">
        <w:t>)</w:t>
      </w:r>
      <w:r w:rsidRPr="005942FA">
        <w:t xml:space="preserve">, para. 57; </w:t>
      </w:r>
      <w:r w:rsidRPr="005942FA">
        <w:rPr>
          <w:lang w:val="en-US"/>
        </w:rPr>
        <w:t xml:space="preserve">WHO (2010) Set </w:t>
      </w:r>
      <w:proofErr w:type="gramStart"/>
      <w:r w:rsidRPr="005942FA">
        <w:rPr>
          <w:lang w:val="en-US"/>
        </w:rPr>
        <w:t>of  Recommendations</w:t>
      </w:r>
      <w:proofErr w:type="gramEnd"/>
      <w:r w:rsidRPr="005942FA">
        <w:rPr>
          <w:lang w:val="en-US"/>
        </w:rPr>
        <w:t xml:space="preserve"> </w:t>
      </w:r>
      <w:r w:rsidRPr="005942FA">
        <w:rPr>
          <w:color w:val="333333"/>
        </w:rPr>
        <w:t xml:space="preserve">on the marketing of foods and non-alcoholic beverages to children; </w:t>
      </w:r>
      <w:r w:rsidRPr="005942FA">
        <w:rPr>
          <w:lang w:val="en-US"/>
        </w:rPr>
        <w:t xml:space="preserve"> and WHO (2012)</w:t>
      </w:r>
      <w:r w:rsidRPr="005942FA">
        <w:rPr>
          <w:i/>
          <w:lang w:val="en-US"/>
        </w:rPr>
        <w:t xml:space="preserve"> </w:t>
      </w:r>
      <w:r w:rsidRPr="005942FA">
        <w:rPr>
          <w:color w:val="333333"/>
        </w:rPr>
        <w:t>A framework for implementing the set of recommendations on the marketing of foods and non-alcoholic beverages to children</w:t>
      </w:r>
      <w:r w:rsidRPr="005942FA">
        <w:t xml:space="preserve">.  </w:t>
      </w:r>
    </w:p>
  </w:footnote>
  <w:footnote w:id="51">
    <w:p w:rsidR="006854E2" w:rsidRPr="00C61A93" w:rsidRDefault="006854E2" w:rsidP="006854E2">
      <w:pPr>
        <w:pStyle w:val="FootnoteText"/>
        <w:rPr>
          <w:lang w:val="nl-NL"/>
        </w:rPr>
      </w:pPr>
      <w:r w:rsidRPr="007A3EF7">
        <w:rPr>
          <w:lang w:val="en-US"/>
        </w:rPr>
        <w:tab/>
      </w:r>
      <w:r>
        <w:rPr>
          <w:rStyle w:val="FootnoteReference"/>
        </w:rPr>
        <w:footnoteRef/>
      </w:r>
      <w:r w:rsidRPr="007A3EF7">
        <w:rPr>
          <w:lang w:val="en-US"/>
        </w:rPr>
        <w:tab/>
      </w:r>
      <w:r w:rsidRPr="005942FA">
        <w:t>Framework Convention on Tobacco Control (May 21, 2003), UN Treaty Series, vol. 2302, p. 166</w:t>
      </w:r>
      <w:r>
        <w:t>.</w:t>
      </w:r>
    </w:p>
  </w:footnote>
  <w:footnote w:id="52">
    <w:p w:rsidR="006854E2" w:rsidRPr="005942FA" w:rsidRDefault="006854E2" w:rsidP="006854E2">
      <w:pPr>
        <w:pStyle w:val="FootnoteText"/>
        <w:rPr>
          <w:lang w:val="nl-NL"/>
        </w:rPr>
      </w:pPr>
      <w:r w:rsidRPr="007A3EF7">
        <w:rPr>
          <w:lang w:val="en-US"/>
        </w:rPr>
        <w:tab/>
      </w:r>
      <w:r w:rsidRPr="005942FA">
        <w:rPr>
          <w:rStyle w:val="FootnoteReference"/>
          <w:szCs w:val="18"/>
        </w:rPr>
        <w:footnoteRef/>
      </w:r>
      <w:r>
        <w:rPr>
          <w:lang w:val="fr-CH"/>
        </w:rPr>
        <w:tab/>
      </w:r>
      <w:r w:rsidRPr="005942FA">
        <w:rPr>
          <w:lang w:val="en-US"/>
        </w:rPr>
        <w:t>A/HRC/19/59 (2011)</w:t>
      </w:r>
      <w:r>
        <w:rPr>
          <w:lang w:val="en-US"/>
        </w:rPr>
        <w:t xml:space="preserve"> (</w:t>
      </w:r>
      <w:r w:rsidRPr="005942FA">
        <w:rPr>
          <w:lang w:val="en-US"/>
        </w:rPr>
        <w:t>Report presented by the Special Rapporteur on the right to food at the 19th Session of the United Nations Human Rights Council</w:t>
      </w:r>
      <w:r>
        <w:rPr>
          <w:lang w:val="en-US"/>
        </w:rPr>
        <w:t>)</w:t>
      </w:r>
      <w:r w:rsidRPr="005942FA">
        <w:rPr>
          <w:lang w:val="en-US"/>
        </w:rPr>
        <w:t>, para. 16</w:t>
      </w:r>
    </w:p>
  </w:footnote>
  <w:footnote w:id="53">
    <w:p w:rsidR="006854E2" w:rsidRPr="005942FA" w:rsidRDefault="006854E2" w:rsidP="006854E2">
      <w:pPr>
        <w:pStyle w:val="FootnoteText"/>
      </w:pPr>
      <w:r>
        <w:rPr>
          <w:lang w:val="fr-CH"/>
        </w:rPr>
        <w:tab/>
      </w:r>
      <w:r w:rsidRPr="005942FA">
        <w:rPr>
          <w:rStyle w:val="FootnoteReference"/>
          <w:rFonts w:eastAsia="Calibri"/>
          <w:szCs w:val="18"/>
        </w:rPr>
        <w:footnoteRef/>
      </w:r>
      <w:r>
        <w:rPr>
          <w:lang w:val="fr-CH"/>
        </w:rPr>
        <w:tab/>
      </w:r>
      <w:r w:rsidRPr="004B3913">
        <w:t>Convention on the Elimination of All Forms of Discrimination against Women</w:t>
      </w:r>
      <w:r w:rsidRPr="005942FA">
        <w:t xml:space="preserve"> (Dec. 18, 1979), UN Treaty Series, vol. 1249, p. 3, </w:t>
      </w:r>
      <w:r w:rsidRPr="005942FA">
        <w:rPr>
          <w:i/>
        </w:rPr>
        <w:t>entered into forc</w:t>
      </w:r>
      <w:r w:rsidRPr="005942FA">
        <w:t xml:space="preserve">e Sept. 3, 1981, art. 5. </w:t>
      </w:r>
    </w:p>
  </w:footnote>
  <w:footnote w:id="54">
    <w:p w:rsidR="006854E2" w:rsidRPr="005942FA" w:rsidRDefault="006854E2" w:rsidP="006854E2">
      <w:pPr>
        <w:pStyle w:val="FootnoteText"/>
      </w:pPr>
      <w:r>
        <w:rPr>
          <w:lang w:val="fr-CH"/>
        </w:rPr>
        <w:tab/>
      </w:r>
      <w:r w:rsidRPr="005942FA">
        <w:rPr>
          <w:rStyle w:val="FootnoteReference"/>
          <w:rFonts w:eastAsia="Calibri"/>
          <w:szCs w:val="18"/>
        </w:rPr>
        <w:footnoteRef/>
      </w:r>
      <w:r>
        <w:rPr>
          <w:lang w:val="fr-CH"/>
        </w:rPr>
        <w:tab/>
      </w:r>
      <w:r w:rsidR="00A17D71">
        <w:t>GC 4</w:t>
      </w:r>
      <w:r w:rsidRPr="005942FA">
        <w:t>, para. 8(c).</w:t>
      </w:r>
    </w:p>
  </w:footnote>
  <w:footnote w:id="55">
    <w:p w:rsidR="006854E2" w:rsidRPr="005942FA" w:rsidRDefault="006854E2" w:rsidP="006854E2">
      <w:pPr>
        <w:pStyle w:val="FootnoteText"/>
      </w:pPr>
      <w:r>
        <w:rPr>
          <w:lang w:val="fr-CH"/>
        </w:rPr>
        <w:tab/>
      </w:r>
      <w:r w:rsidRPr="005942FA">
        <w:rPr>
          <w:rStyle w:val="FootnoteReference"/>
          <w:rFonts w:eastAsia="Calibri"/>
          <w:szCs w:val="18"/>
        </w:rPr>
        <w:footnoteRef/>
      </w:r>
      <w:r>
        <w:rPr>
          <w:lang w:val="fr-CH"/>
        </w:rPr>
        <w:tab/>
      </w:r>
      <w:r w:rsidRPr="005942FA">
        <w:t xml:space="preserve">GC 23, paras. 10-16, 19-24. </w:t>
      </w:r>
    </w:p>
  </w:footnote>
  <w:footnote w:id="56">
    <w:p w:rsidR="006854E2" w:rsidRPr="005942FA" w:rsidRDefault="006854E2" w:rsidP="006854E2">
      <w:pPr>
        <w:pStyle w:val="FootnoteText"/>
      </w:pPr>
      <w:r>
        <w:rPr>
          <w:lang w:val="fr-CH"/>
        </w:rPr>
        <w:tab/>
      </w:r>
      <w:r w:rsidRPr="005942FA">
        <w:rPr>
          <w:rStyle w:val="FootnoteReference"/>
          <w:rFonts w:eastAsia="Calibri"/>
          <w:szCs w:val="18"/>
        </w:rPr>
        <w:footnoteRef/>
      </w:r>
      <w:r w:rsidRPr="007A3EF7">
        <w:rPr>
          <w:lang w:val="en-US"/>
        </w:rPr>
        <w:tab/>
      </w:r>
      <w:r w:rsidRPr="00E65AFC">
        <w:t>CEDAW/C/GC/28</w:t>
      </w:r>
      <w:r>
        <w:t xml:space="preserve"> </w:t>
      </w:r>
      <w:r w:rsidRPr="00422E2C">
        <w:t>(</w:t>
      </w:r>
      <w:r>
        <w:t>General Comment No. 28, on the core obligations of States parties under article 2 of the Convention on the Elimination of All Forms of Discrimination against Women</w:t>
      </w:r>
      <w:r w:rsidRPr="00422E2C">
        <w:t>)</w:t>
      </w:r>
      <w:r>
        <w:t xml:space="preserve"> </w:t>
      </w:r>
      <w:r w:rsidRPr="00422E2C">
        <w:t>(2010)</w:t>
      </w:r>
      <w:r w:rsidRPr="005942FA">
        <w:t xml:space="preserve">, para.13. </w:t>
      </w:r>
    </w:p>
  </w:footnote>
  <w:footnote w:id="57">
    <w:p w:rsidR="006854E2" w:rsidRPr="005942FA" w:rsidRDefault="006854E2" w:rsidP="006854E2">
      <w:pPr>
        <w:pStyle w:val="FootnoteText"/>
        <w:rPr>
          <w:lang w:val="nl-NL"/>
        </w:rPr>
      </w:pPr>
      <w:r w:rsidRPr="007A3EF7">
        <w:rPr>
          <w:lang w:val="en-US"/>
        </w:rPr>
        <w:tab/>
      </w:r>
      <w:r w:rsidRPr="005942FA">
        <w:rPr>
          <w:rStyle w:val="FootnoteReference"/>
          <w:szCs w:val="18"/>
        </w:rPr>
        <w:footnoteRef/>
      </w:r>
      <w:r w:rsidRPr="007A3EF7">
        <w:rPr>
          <w:lang w:val="en-US"/>
        </w:rPr>
        <w:tab/>
      </w:r>
      <w:r w:rsidRPr="005942FA">
        <w:rPr>
          <w:lang w:val="nl-NL"/>
        </w:rPr>
        <w:t>A/HRC/RES/23/9 (The negative impact of corruption on the enjoyment of human rights); A/RES/69/199 (Preventing and combating corrupt practices and the transfer of proceeds of corruption, facilitating asset recovery and returning such assets to legitimate owners, in particular to countries of origin, in accordance with the United Nations Convention against Corruption).</w:t>
      </w:r>
    </w:p>
  </w:footnote>
  <w:footnote w:id="58">
    <w:p w:rsidR="006854E2" w:rsidRPr="00BB6CB9" w:rsidRDefault="006854E2" w:rsidP="006854E2">
      <w:pPr>
        <w:pStyle w:val="FootnoteText"/>
        <w:rPr>
          <w:lang w:val="nl-NL"/>
        </w:rPr>
      </w:pPr>
      <w:r w:rsidRPr="007A3EF7">
        <w:rPr>
          <w:lang w:val="en-US"/>
        </w:rPr>
        <w:tab/>
      </w:r>
      <w:r>
        <w:rPr>
          <w:rStyle w:val="FootnoteReference"/>
        </w:rPr>
        <w:footnoteRef/>
      </w:r>
      <w:r>
        <w:rPr>
          <w:lang w:val="fr-CH"/>
        </w:rPr>
        <w:tab/>
      </w:r>
      <w:r>
        <w:t xml:space="preserve">Conclusions attached to the </w:t>
      </w:r>
      <w:r>
        <w:rPr>
          <w:lang w:val="nl-NL"/>
        </w:rPr>
        <w:t xml:space="preserve">Resolution concerning decent work in global supply chains, adopted by the 105th session of the General Conference of the International Labour Organisation (2016), para. 15, g). </w:t>
      </w:r>
    </w:p>
  </w:footnote>
  <w:footnote w:id="59">
    <w:p w:rsidR="006854E2" w:rsidRPr="005942FA" w:rsidRDefault="006854E2" w:rsidP="006854E2">
      <w:pPr>
        <w:pStyle w:val="FootnoteText"/>
        <w:rPr>
          <w:lang w:val="nl-NL"/>
        </w:rPr>
      </w:pPr>
      <w:r>
        <w:rPr>
          <w:lang w:val="fr-CH"/>
        </w:rPr>
        <w:tab/>
      </w:r>
      <w:r w:rsidRPr="005942FA">
        <w:rPr>
          <w:rStyle w:val="FootnoteReference"/>
          <w:szCs w:val="18"/>
        </w:rPr>
        <w:footnoteRef/>
      </w:r>
      <w:r>
        <w:rPr>
          <w:lang w:val="fr-CH"/>
        </w:rPr>
        <w:tab/>
      </w:r>
      <w:r w:rsidRPr="005942FA">
        <w:rPr>
          <w:lang w:val="nl-NL"/>
        </w:rPr>
        <w:t xml:space="preserve">See, e.g., </w:t>
      </w:r>
      <w:r w:rsidRPr="005942FA">
        <w:t>Human Rights Council Resolution 15/9: Human Rights and Access to Safe Drinking Water and Sanitation, A/HRC/RES/15/9, of 6 October 2010.</w:t>
      </w:r>
    </w:p>
  </w:footnote>
  <w:footnote w:id="60">
    <w:p w:rsidR="006854E2" w:rsidRPr="005D04D4" w:rsidRDefault="006854E2" w:rsidP="006854E2">
      <w:pPr>
        <w:pStyle w:val="FootnoteText"/>
        <w:rPr>
          <w:lang w:val="nl-NL"/>
        </w:rPr>
      </w:pPr>
      <w:r>
        <w:rPr>
          <w:lang w:val="fr-CH"/>
        </w:rPr>
        <w:tab/>
      </w:r>
      <w:r>
        <w:rPr>
          <w:rStyle w:val="FootnoteReference"/>
        </w:rPr>
        <w:footnoteRef/>
      </w:r>
      <w:r w:rsidRPr="007A3EF7">
        <w:rPr>
          <w:lang w:val="en-US"/>
        </w:rPr>
        <w:tab/>
      </w:r>
      <w:r w:rsidRPr="00366A51">
        <w:t>E/C.12/GC/22</w:t>
      </w:r>
      <w:r w:rsidRPr="00422E2C">
        <w:t xml:space="preserve"> (</w:t>
      </w:r>
      <w:r w:rsidRPr="00FE65F6">
        <w:t>General Comment No. 22</w:t>
      </w:r>
      <w:r w:rsidRPr="00422E2C">
        <w:t xml:space="preserve"> (2016)</w:t>
      </w:r>
      <w:r w:rsidRPr="00FE65F6">
        <w:t xml:space="preserve"> on the right to sexual and reproductive health</w:t>
      </w:r>
      <w:r w:rsidRPr="00422E2C">
        <w:t>)</w:t>
      </w:r>
      <w:r w:rsidRPr="00366A51">
        <w:t xml:space="preserve"> </w:t>
      </w:r>
      <w:r w:rsidRPr="00422E2C">
        <w:t>(</w:t>
      </w:r>
      <w:r w:rsidRPr="005942FA">
        <w:t xml:space="preserve">“GC </w:t>
      </w:r>
      <w:r w:rsidRPr="00422E2C">
        <w:t>22</w:t>
      </w:r>
      <w:r w:rsidRPr="005942FA">
        <w:t>”</w:t>
      </w:r>
      <w:r w:rsidRPr="00422E2C">
        <w:t>)</w:t>
      </w:r>
      <w:r w:rsidRPr="00FE65F6">
        <w:t>, para</w:t>
      </w:r>
      <w:r>
        <w:t>s</w:t>
      </w:r>
      <w:r w:rsidRPr="00FE65F6">
        <w:t>. 14</w:t>
      </w:r>
      <w:r>
        <w:t>, 42, 43 and 60.</w:t>
      </w:r>
    </w:p>
  </w:footnote>
  <w:footnote w:id="61">
    <w:p w:rsidR="006854E2" w:rsidRPr="005942FA" w:rsidRDefault="006854E2" w:rsidP="006854E2">
      <w:pPr>
        <w:pStyle w:val="FootnoteText"/>
        <w:rPr>
          <w:lang w:val="nl-NL"/>
        </w:rPr>
      </w:pPr>
      <w:r w:rsidRPr="007A3EF7">
        <w:rPr>
          <w:lang w:val="en-US"/>
        </w:rPr>
        <w:tab/>
      </w:r>
      <w:r w:rsidRPr="005942FA">
        <w:rPr>
          <w:rStyle w:val="FootnoteReference"/>
          <w:szCs w:val="18"/>
        </w:rPr>
        <w:footnoteRef/>
      </w:r>
      <w:r w:rsidRPr="007A3EF7">
        <w:rPr>
          <w:lang w:val="en-US"/>
        </w:rPr>
        <w:tab/>
      </w:r>
      <w:r w:rsidRPr="005942FA">
        <w:t xml:space="preserve">See, e.g., in the sector of education, </w:t>
      </w:r>
      <w:proofErr w:type="gramStart"/>
      <w:r w:rsidRPr="005942FA">
        <w:rPr>
          <w:lang w:val="nl-NL"/>
        </w:rPr>
        <w:t>Concluding</w:t>
      </w:r>
      <w:proofErr w:type="gramEnd"/>
      <w:r w:rsidRPr="005942FA">
        <w:rPr>
          <w:lang w:val="nl-NL"/>
        </w:rPr>
        <w:t xml:space="preserve"> Observations: Chile (E/C.12/CHL/CO/4), para. 30 (19 June 2015)</w:t>
      </w:r>
      <w:r>
        <w:rPr>
          <w:lang w:val="nl-NL"/>
        </w:rPr>
        <w:t xml:space="preserve">; </w:t>
      </w:r>
      <w:r w:rsidRPr="005942FA">
        <w:t>A/69/402 (Report of the Special Rapporteur on the right to education to the sixty-ninth session of the General Assembly)</w:t>
      </w:r>
      <w:r w:rsidRPr="005942FA">
        <w:rPr>
          <w:lang w:val="nl-NL"/>
        </w:rPr>
        <w:t xml:space="preserve">. </w:t>
      </w:r>
      <w:r>
        <w:rPr>
          <w:lang w:val="nl-NL"/>
        </w:rPr>
        <w:t>Of course, important though it is, appropriate regulation of the providers of educational services should respect academic freedom and "</w:t>
      </w:r>
      <w:r>
        <w:t>the liberty of parents and, when applicable, legal guardians to choose for their children schools, other than those established by the public authorities, which conform to such minimum educational standards as may be laid down or approved by the State and to ensure the religious and moral education of their children in conformity with their own convictions" (art. 13(3) of the Covenant).</w:t>
      </w:r>
      <w:r w:rsidRPr="005942FA">
        <w:rPr>
          <w:lang w:val="nl-NL"/>
        </w:rPr>
        <w:t xml:space="preserve"> As regards primary education, States Parties must ensure not only that it is affordable, but that it is free, as required by arts. 13(2)(a) and 14 of the Covenant.</w:t>
      </w:r>
    </w:p>
  </w:footnote>
  <w:footnote w:id="62">
    <w:p w:rsidR="006854E2" w:rsidRPr="005942FA" w:rsidRDefault="006854E2" w:rsidP="006854E2">
      <w:pPr>
        <w:pStyle w:val="FootnoteText"/>
      </w:pPr>
      <w:r>
        <w:rPr>
          <w:lang w:val="fr-CH"/>
        </w:rPr>
        <w:tab/>
      </w:r>
      <w:r w:rsidRPr="005942FA">
        <w:rPr>
          <w:rStyle w:val="FootnoteReference"/>
          <w:rFonts w:eastAsia="Calibri"/>
          <w:szCs w:val="18"/>
        </w:rPr>
        <w:footnoteRef/>
      </w:r>
      <w:r w:rsidRPr="007A3EF7">
        <w:rPr>
          <w:lang w:val="en-US"/>
        </w:rPr>
        <w:tab/>
      </w:r>
      <w:r w:rsidRPr="005942FA">
        <w:rPr>
          <w:i/>
        </w:rPr>
        <w:t>See also</w:t>
      </w:r>
      <w:r w:rsidRPr="005942FA">
        <w:t xml:space="preserve"> A/HRC/23/42 (Report of the Special Rapporteur on the right of everyone to the enjoyment of the highest attainable standard of physical and mental health</w:t>
      </w:r>
      <w:r w:rsidR="00A17D71">
        <w:t xml:space="preserve"> to the 23</w:t>
      </w:r>
      <w:r w:rsidR="00A17D71" w:rsidRPr="00A17D71">
        <w:rPr>
          <w:vertAlign w:val="superscript"/>
        </w:rPr>
        <w:t>rd</w:t>
      </w:r>
      <w:r w:rsidR="00A17D71">
        <w:t xml:space="preserve"> session of the Human Rights Council</w:t>
      </w:r>
      <w:r w:rsidRPr="005942FA">
        <w:t xml:space="preserve">), para. 3 (recognizing the obligation to provide essential medicines as an immediate obligation for all States Parties). </w:t>
      </w:r>
    </w:p>
  </w:footnote>
  <w:footnote w:id="63">
    <w:p w:rsidR="006854E2" w:rsidRPr="005942FA" w:rsidRDefault="006854E2" w:rsidP="006854E2">
      <w:pPr>
        <w:pStyle w:val="FootnoteText"/>
      </w:pPr>
      <w:r w:rsidRPr="007A3EF7">
        <w:rPr>
          <w:lang w:val="en-US"/>
        </w:rPr>
        <w:tab/>
      </w:r>
      <w:r w:rsidRPr="005942FA">
        <w:rPr>
          <w:rStyle w:val="FootnoteReference"/>
          <w:rFonts w:eastAsia="Calibri"/>
          <w:szCs w:val="18"/>
        </w:rPr>
        <w:footnoteRef/>
      </w:r>
      <w:r w:rsidRPr="007A3EF7">
        <w:rPr>
          <w:lang w:val="en-US"/>
        </w:rPr>
        <w:tab/>
      </w:r>
      <w:r w:rsidRPr="005942FA">
        <w:t>Seed policies and the right to food.</w:t>
      </w:r>
      <w:r w:rsidRPr="004D32FF">
        <w:t xml:space="preserve"> A/64/170</w:t>
      </w:r>
      <w:r w:rsidRPr="00422E2C">
        <w:t xml:space="preserve"> (Interim report of the Special Rapporteur on the right to food to the sixty-fourth session of the General Assembly)</w:t>
      </w:r>
      <w:r w:rsidRPr="005942FA">
        <w:t xml:space="preserve">, paras. 5, </w:t>
      </w:r>
      <w:proofErr w:type="gramStart"/>
      <w:r w:rsidRPr="005942FA">
        <w:t>7</w:t>
      </w:r>
      <w:r>
        <w:t xml:space="preserve"> ;</w:t>
      </w:r>
      <w:proofErr w:type="gramEnd"/>
      <w:r>
        <w:t xml:space="preserve"> </w:t>
      </w:r>
      <w:r w:rsidRPr="00422E2C">
        <w:t>International Treaty on Plant Genetic Resources for Food and Agriculture (adopted 3 Nov. 2001, Res. 3/2001, FAO, 31st Sess.), art. 9</w:t>
      </w:r>
      <w:r w:rsidRPr="005942FA">
        <w:t xml:space="preserve">.  </w:t>
      </w:r>
    </w:p>
  </w:footnote>
  <w:footnote w:id="64">
    <w:p w:rsidR="006854E2" w:rsidRPr="005942FA" w:rsidRDefault="006854E2" w:rsidP="006854E2">
      <w:pPr>
        <w:pStyle w:val="FootnoteText"/>
      </w:pPr>
      <w:r w:rsidRPr="007A3EF7">
        <w:rPr>
          <w:lang w:val="en-US"/>
        </w:rPr>
        <w:tab/>
      </w:r>
      <w:r w:rsidRPr="005942FA">
        <w:rPr>
          <w:rStyle w:val="FootnoteReference"/>
          <w:szCs w:val="18"/>
        </w:rPr>
        <w:footnoteRef/>
      </w:r>
      <w:r w:rsidRPr="007A3EF7">
        <w:rPr>
          <w:lang w:val="en-US"/>
        </w:rPr>
        <w:tab/>
      </w:r>
      <w:r w:rsidRPr="00366A51">
        <w:t>Declar</w:t>
      </w:r>
      <w:r w:rsidRPr="005942FA">
        <w:t>ation on the Rights of Indigenous Peoples, art. 24 and 31; and</w:t>
      </w:r>
      <w:r>
        <w:t xml:space="preserve"> </w:t>
      </w:r>
      <w:r w:rsidRPr="005942FA">
        <w:t xml:space="preserve">GC </w:t>
      </w:r>
      <w:r w:rsidRPr="004D32FF">
        <w:t>2</w:t>
      </w:r>
      <w:r>
        <w:t>1</w:t>
      </w:r>
      <w:r w:rsidRPr="005942FA">
        <w:t>, para 37.</w:t>
      </w:r>
      <w:r>
        <w:t xml:space="preserve"> </w:t>
      </w:r>
    </w:p>
  </w:footnote>
  <w:footnote w:id="65">
    <w:p w:rsidR="006854E2" w:rsidRPr="005942FA" w:rsidRDefault="006854E2" w:rsidP="006854E2">
      <w:pPr>
        <w:pStyle w:val="FootnoteText"/>
        <w:rPr>
          <w:lang w:val="pl-PL"/>
        </w:rPr>
      </w:pPr>
      <w:r>
        <w:rPr>
          <w:lang w:val="pl-PL"/>
        </w:rPr>
        <w:tab/>
      </w:r>
      <w:r w:rsidRPr="005942FA">
        <w:rPr>
          <w:rStyle w:val="FootnoteReference"/>
          <w:rFonts w:eastAsia="Calibri"/>
          <w:szCs w:val="18"/>
        </w:rPr>
        <w:footnoteRef/>
      </w:r>
      <w:r>
        <w:rPr>
          <w:lang w:val="pl-PL"/>
        </w:rPr>
        <w:tab/>
      </w:r>
      <w:r w:rsidRPr="005942FA">
        <w:rPr>
          <w:lang w:val="pl-PL"/>
        </w:rPr>
        <w:t xml:space="preserve">2011 Statement, paras. 5-6. </w:t>
      </w:r>
    </w:p>
  </w:footnote>
  <w:footnote w:id="66">
    <w:p w:rsidR="006854E2" w:rsidRPr="005942FA" w:rsidRDefault="006854E2" w:rsidP="006854E2">
      <w:pPr>
        <w:pStyle w:val="FootnoteText"/>
        <w:rPr>
          <w:lang w:val="pl-PL"/>
        </w:rPr>
      </w:pPr>
      <w:r>
        <w:rPr>
          <w:lang w:val="pl-PL"/>
        </w:rPr>
        <w:tab/>
      </w:r>
      <w:r w:rsidRPr="005942FA">
        <w:rPr>
          <w:rStyle w:val="FootnoteReference"/>
          <w:rFonts w:eastAsia="Calibri"/>
          <w:szCs w:val="18"/>
        </w:rPr>
        <w:footnoteRef/>
      </w:r>
      <w:r>
        <w:rPr>
          <w:lang w:val="pl-PL"/>
        </w:rPr>
        <w:tab/>
      </w:r>
      <w:r w:rsidRPr="005942FA">
        <w:rPr>
          <w:lang w:val="pl-PL"/>
        </w:rPr>
        <w:t>GC 15, paras. 31, 33.</w:t>
      </w:r>
    </w:p>
  </w:footnote>
  <w:footnote w:id="67">
    <w:p w:rsidR="006854E2" w:rsidRPr="005942FA" w:rsidRDefault="006854E2" w:rsidP="006854E2">
      <w:pPr>
        <w:pStyle w:val="FootnoteText"/>
        <w:rPr>
          <w:lang w:val="pl-PL"/>
        </w:rPr>
      </w:pPr>
      <w:r>
        <w:rPr>
          <w:lang w:val="pl-PL"/>
        </w:rPr>
        <w:tab/>
      </w:r>
      <w:r w:rsidRPr="005942FA">
        <w:rPr>
          <w:rStyle w:val="FootnoteReference"/>
          <w:rFonts w:eastAsia="Calibri"/>
          <w:szCs w:val="18"/>
        </w:rPr>
        <w:footnoteRef/>
      </w:r>
      <w:r>
        <w:rPr>
          <w:lang w:val="pl-PL"/>
        </w:rPr>
        <w:tab/>
      </w:r>
      <w:r w:rsidRPr="00366A51">
        <w:rPr>
          <w:lang w:val="pl-PL"/>
        </w:rPr>
        <w:t>GC</w:t>
      </w:r>
      <w:r w:rsidRPr="005942FA">
        <w:rPr>
          <w:lang w:val="pl-PL"/>
        </w:rPr>
        <w:t xml:space="preserve"> 18, para. 52.</w:t>
      </w:r>
    </w:p>
  </w:footnote>
  <w:footnote w:id="68">
    <w:p w:rsidR="006854E2" w:rsidRPr="005942FA" w:rsidRDefault="006854E2" w:rsidP="006854E2">
      <w:pPr>
        <w:pStyle w:val="FootnoteText"/>
      </w:pPr>
      <w:r>
        <w:rPr>
          <w:lang w:val="pl-PL"/>
        </w:rPr>
        <w:tab/>
      </w:r>
      <w:r w:rsidRPr="005942FA">
        <w:rPr>
          <w:rFonts w:eastAsia="Verdana"/>
          <w:vertAlign w:val="superscript"/>
        </w:rPr>
        <w:footnoteRef/>
      </w:r>
      <w:r>
        <w:rPr>
          <w:lang w:val="pl-PL"/>
        </w:rPr>
        <w:tab/>
      </w:r>
      <w:r w:rsidRPr="005942FA">
        <w:rPr>
          <w:rFonts w:eastAsia="Verdana"/>
          <w:lang w:val="pl-PL"/>
        </w:rPr>
        <w:t xml:space="preserve">GC 19, para. </w:t>
      </w:r>
      <w:r w:rsidRPr="005942FA">
        <w:rPr>
          <w:rFonts w:eastAsia="Verdana"/>
        </w:rPr>
        <w:t>54</w:t>
      </w:r>
      <w:r w:rsidRPr="005942FA">
        <w:t>.</w:t>
      </w:r>
    </w:p>
  </w:footnote>
  <w:footnote w:id="69">
    <w:p w:rsidR="006854E2" w:rsidRPr="005D04D4" w:rsidRDefault="006854E2" w:rsidP="006854E2">
      <w:pPr>
        <w:pStyle w:val="FootnoteText"/>
        <w:rPr>
          <w:lang w:val="nl-NL"/>
        </w:rPr>
      </w:pPr>
      <w:r>
        <w:rPr>
          <w:lang w:val="fr-CH"/>
        </w:rPr>
        <w:tab/>
      </w:r>
      <w:r>
        <w:rPr>
          <w:rStyle w:val="FootnoteReference"/>
        </w:rPr>
        <w:footnoteRef/>
      </w:r>
      <w:r>
        <w:rPr>
          <w:lang w:val="fr-CH"/>
        </w:rPr>
        <w:tab/>
      </w:r>
      <w:r>
        <w:rPr>
          <w:noProof/>
          <w:lang w:val="en-US"/>
        </w:rPr>
        <w:t>GC 23, para. 70</w:t>
      </w:r>
      <w:r w:rsidRPr="005942FA">
        <w:rPr>
          <w:noProof/>
          <w:lang w:val="en-US"/>
        </w:rPr>
        <w:t>,</w:t>
      </w:r>
    </w:p>
  </w:footnote>
  <w:footnote w:id="70">
    <w:p w:rsidR="006854E2" w:rsidRPr="005942FA" w:rsidRDefault="006854E2" w:rsidP="006854E2">
      <w:pPr>
        <w:pStyle w:val="FootnoteText"/>
        <w:rPr>
          <w:lang w:val="nl-NL"/>
        </w:rPr>
      </w:pPr>
      <w:r>
        <w:rPr>
          <w:lang w:val="fr-CH"/>
        </w:rPr>
        <w:tab/>
      </w:r>
      <w:r w:rsidRPr="005942FA">
        <w:rPr>
          <w:rStyle w:val="FootnoteReference"/>
          <w:rFonts w:eastAsia="Verdana"/>
          <w:szCs w:val="18"/>
        </w:rPr>
        <w:footnoteRef/>
      </w:r>
      <w:r>
        <w:rPr>
          <w:lang w:val="fr-CH"/>
        </w:rPr>
        <w:tab/>
      </w:r>
      <w:r w:rsidRPr="005942FA">
        <w:rPr>
          <w:bCs/>
        </w:rPr>
        <w:t xml:space="preserve">Charter of the United Nations (June 26, 1945), 59 Stat. 1031, </w:t>
      </w:r>
      <w:r w:rsidRPr="005942FA">
        <w:rPr>
          <w:bCs/>
          <w:i/>
          <w:iCs/>
        </w:rPr>
        <w:t>entered into force</w:t>
      </w:r>
      <w:r w:rsidRPr="005942FA">
        <w:rPr>
          <w:bCs/>
        </w:rPr>
        <w:t xml:space="preserve"> Oct. 24, 1945 (Article 56).</w:t>
      </w:r>
    </w:p>
  </w:footnote>
  <w:footnote w:id="71">
    <w:p w:rsidR="006854E2" w:rsidRPr="005942FA" w:rsidRDefault="006854E2" w:rsidP="006854E2">
      <w:pPr>
        <w:pStyle w:val="FootnoteText"/>
        <w:rPr>
          <w:lang w:val="nl-NL"/>
        </w:rPr>
      </w:pPr>
      <w:r>
        <w:rPr>
          <w:lang w:val="fr-CH"/>
        </w:rPr>
        <w:tab/>
      </w:r>
      <w:r w:rsidRPr="005942FA">
        <w:rPr>
          <w:rStyle w:val="FootnoteReference"/>
          <w:rFonts w:eastAsia="Calibri"/>
          <w:szCs w:val="18"/>
        </w:rPr>
        <w:footnoteRef/>
      </w:r>
      <w:r w:rsidRPr="007A3EF7">
        <w:rPr>
          <w:lang w:val="en-US"/>
        </w:rPr>
        <w:tab/>
      </w:r>
      <w:r w:rsidRPr="00402050">
        <w:rPr>
          <w:i/>
        </w:rPr>
        <w:t>Legal Consequences of the Construction of a Wall in the Occupied Palestinian Territory</w:t>
      </w:r>
      <w:r w:rsidRPr="005942FA">
        <w:t>, Advisory Opinion, 2004 I.C.J. 136 (9 July), paras. 109-112.</w:t>
      </w:r>
    </w:p>
  </w:footnote>
  <w:footnote w:id="72">
    <w:p w:rsidR="006854E2" w:rsidRPr="005942FA" w:rsidRDefault="006854E2" w:rsidP="006854E2">
      <w:pPr>
        <w:pStyle w:val="FootnoteText"/>
      </w:pPr>
      <w:r>
        <w:rPr>
          <w:lang w:val="fr-CH"/>
        </w:rPr>
        <w:tab/>
      </w:r>
      <w:r w:rsidRPr="005942FA">
        <w:rPr>
          <w:rStyle w:val="FootnoteReference"/>
          <w:rFonts w:eastAsia="Verdana"/>
          <w:szCs w:val="18"/>
        </w:rPr>
        <w:footnoteRef/>
      </w:r>
      <w:r w:rsidRPr="007A3EF7">
        <w:rPr>
          <w:lang w:val="en-US"/>
        </w:rPr>
        <w:tab/>
      </w:r>
      <w:r w:rsidRPr="005942FA">
        <w:t xml:space="preserve">Trail Smelter Case (United States v. Canada), 3 R.I.A.A. 1905 (1941), pg. 1965; </w:t>
      </w:r>
      <w:r w:rsidRPr="005942FA">
        <w:rPr>
          <w:i/>
        </w:rPr>
        <w:t>Corfu Channel Case (United Kingdom v. Albania) (Merits)</w:t>
      </w:r>
      <w:r w:rsidRPr="005942FA">
        <w:t xml:space="preserve"> 1949 I.C.J. 4 (9 Apr.), para. 22; and </w:t>
      </w:r>
      <w:r w:rsidRPr="005942FA">
        <w:rPr>
          <w:i/>
        </w:rPr>
        <w:t>Legality of the Threat or Use of Nuclear Weapons</w:t>
      </w:r>
      <w:r w:rsidRPr="005942FA">
        <w:t xml:space="preserve">, Advisory Opinion, 1996 I.C.J. 226 (8 July), para. 29. See also </w:t>
      </w:r>
      <w:r w:rsidRPr="005942FA">
        <w:rPr>
          <w:lang w:eastAsia="ja-JP"/>
        </w:rPr>
        <w:t xml:space="preserve">International Law Commission, </w:t>
      </w:r>
      <w:r w:rsidRPr="005942FA">
        <w:rPr>
          <w:i/>
        </w:rPr>
        <w:t>Draft Principles on the Allocation of Loss in the Case of Transboundary Harm Arising out of Hazardous Activities</w:t>
      </w:r>
      <w:r w:rsidRPr="005942FA">
        <w:t>, adopted</w:t>
      </w:r>
      <w:r w:rsidRPr="005942FA">
        <w:rPr>
          <w:lang w:eastAsia="ja-JP"/>
        </w:rPr>
        <w:t xml:space="preserve"> at the fifty-eighth session of the International Law Commission (A/61/10) (2006) (in particular Principle 4, stipulating that "</w:t>
      </w:r>
      <w:r w:rsidRPr="005942FA">
        <w:t>Each State should take all necessary measures to ensure that prompt and adequate compensation is available for victims of transboundary damage caused by hazardous activities located within its territory or otherwise under its jurisdiction or control")</w:t>
      </w:r>
      <w:r w:rsidRPr="005942FA">
        <w:rPr>
          <w:lang w:eastAsia="ja-JP"/>
        </w:rPr>
        <w:t xml:space="preserve">. </w:t>
      </w:r>
      <w:r w:rsidRPr="005942FA">
        <w:t xml:space="preserve">The </w:t>
      </w:r>
      <w:r w:rsidRPr="005942FA">
        <w:rPr>
          <w:rFonts w:eastAsia="Verdana"/>
          <w:color w:val="000000"/>
          <w:u w:color="000000"/>
          <w:bdr w:val="nil"/>
          <w:lang w:val="en-US" w:eastAsia="fr-CH"/>
        </w:rPr>
        <w:t>Maastricht Principles on the Extraterritorial Obligations of States in the Area of Economic, Social and Cultural Rights, adopted by a range of academics, research institutes and human rights non-governmental organizations in 2011, provide a restatement of the current state of international human rights law on this topic, contributing to its progressive development.</w:t>
      </w:r>
    </w:p>
  </w:footnote>
  <w:footnote w:id="73">
    <w:p w:rsidR="006854E2" w:rsidRPr="005942FA" w:rsidRDefault="006854E2" w:rsidP="006854E2">
      <w:pPr>
        <w:pStyle w:val="FootnoteText"/>
        <w:rPr>
          <w:lang w:val="nl-NL"/>
        </w:rPr>
      </w:pPr>
      <w:r>
        <w:rPr>
          <w:lang w:val="fr-CH"/>
        </w:rPr>
        <w:tab/>
      </w:r>
      <w:r w:rsidRPr="005942FA">
        <w:rPr>
          <w:rStyle w:val="FootnoteReference"/>
          <w:szCs w:val="18"/>
        </w:rPr>
        <w:footnoteRef/>
      </w:r>
      <w:r>
        <w:rPr>
          <w:lang w:val="fr-CH"/>
        </w:rPr>
        <w:tab/>
      </w:r>
      <w:r w:rsidRPr="005942FA">
        <w:t xml:space="preserve">Res. 21/11 endorsed the </w:t>
      </w:r>
      <w:r w:rsidRPr="005942FA">
        <w:rPr>
          <w:i/>
        </w:rPr>
        <w:t xml:space="preserve">Final draft of the Guiding Principles on Extreme Poverty and Human Rights submitted by the Special Rapporteur on extreme poverty and human rights </w:t>
      </w:r>
      <w:r w:rsidRPr="005942FA">
        <w:t xml:space="preserve">(A/HRC/21/39), which </w:t>
      </w:r>
      <w:r w:rsidRPr="005942FA">
        <w:rPr>
          <w:lang w:eastAsia="ja-JP"/>
        </w:rPr>
        <w:t>provide that "a</w:t>
      </w:r>
      <w:r w:rsidRPr="005942FA">
        <w:rPr>
          <w:color w:val="000000"/>
          <w:lang w:eastAsia="ja-JP"/>
        </w:rPr>
        <w:t xml:space="preserve">s part of international cooperation and assistance, States have an obligation to respect and protect the enjoyment of human rights, which involves avoiding conduct that would create a foreseeable risk of impairing the enjoyment of human rights by persons living in poverty beyond their borders, and conducting assessments of the extraterritorial impacts of laws, policies and practices" (para. 92). </w:t>
      </w:r>
    </w:p>
  </w:footnote>
  <w:footnote w:id="74">
    <w:p w:rsidR="006854E2" w:rsidRPr="005942FA" w:rsidRDefault="006854E2" w:rsidP="006854E2">
      <w:pPr>
        <w:pStyle w:val="FootnoteText"/>
      </w:pPr>
      <w:r>
        <w:rPr>
          <w:lang w:val="fr-CH"/>
        </w:rPr>
        <w:tab/>
      </w:r>
      <w:r w:rsidRPr="00784992">
        <w:rPr>
          <w:rStyle w:val="FootnoteReference"/>
          <w:szCs w:val="18"/>
        </w:rPr>
        <w:footnoteRef/>
      </w:r>
      <w:r w:rsidRPr="007A3EF7">
        <w:rPr>
          <w:lang w:val="es-MX"/>
        </w:rPr>
        <w:tab/>
      </w:r>
      <w:r w:rsidRPr="007A3EF7">
        <w:rPr>
          <w:lang w:val="es-MX"/>
        </w:rPr>
        <w:t xml:space="preserve">GC 12, para. 36; GC 14, para. 39; or GC 15, paras. 31-33; GC 19, para. 54; GC 20, para. 14; GC 23, paras. </w:t>
      </w:r>
      <w:r w:rsidRPr="005942FA">
        <w:t xml:space="preserve">69-70; </w:t>
      </w:r>
      <w:r w:rsidRPr="005942FA">
        <w:rPr>
          <w:rFonts w:eastAsia="Verdana"/>
          <w:lang w:val="en-US"/>
        </w:rPr>
        <w:t>E/C.12/2011/1</w:t>
      </w:r>
      <w:r w:rsidRPr="005942FA">
        <w:t>, para. 5.</w:t>
      </w:r>
    </w:p>
  </w:footnote>
  <w:footnote w:id="75">
    <w:p w:rsidR="006854E2" w:rsidRPr="005942FA" w:rsidRDefault="006854E2" w:rsidP="006854E2">
      <w:pPr>
        <w:pStyle w:val="FootnoteText"/>
      </w:pPr>
      <w:r>
        <w:rPr>
          <w:lang w:val="fr-CH"/>
        </w:rPr>
        <w:tab/>
      </w:r>
      <w:r w:rsidRPr="005942FA">
        <w:rPr>
          <w:rStyle w:val="FootnoteReference"/>
          <w:rFonts w:eastAsia="Calibri"/>
          <w:szCs w:val="18"/>
        </w:rPr>
        <w:footnoteRef/>
      </w:r>
      <w:r w:rsidRPr="007A3EF7">
        <w:rPr>
          <w:lang w:val="en-US"/>
        </w:rPr>
        <w:tab/>
      </w:r>
      <w:r w:rsidRPr="005942FA">
        <w:t xml:space="preserve">CRC/C/GC/16 (General Comment No. 16 (2013) on State obligations regarding the impact of the business sector on children’s rights), paras. 43-44. </w:t>
      </w:r>
    </w:p>
  </w:footnote>
  <w:footnote w:id="76">
    <w:p w:rsidR="006854E2" w:rsidRPr="005942FA" w:rsidRDefault="006854E2" w:rsidP="006854E2">
      <w:pPr>
        <w:pStyle w:val="FootnoteText"/>
      </w:pPr>
      <w:r>
        <w:tab/>
      </w:r>
      <w:r w:rsidRPr="005942FA">
        <w:rPr>
          <w:rStyle w:val="FootnoteReference"/>
          <w:szCs w:val="18"/>
        </w:rPr>
        <w:footnoteRef/>
      </w:r>
      <w:r>
        <w:tab/>
      </w:r>
      <w:r w:rsidRPr="005942FA">
        <w:rPr>
          <w:iCs/>
        </w:rPr>
        <w:t xml:space="preserve">For example, </w:t>
      </w:r>
      <w:r w:rsidRPr="005942FA">
        <w:rPr>
          <w:iCs/>
          <w:noProof/>
        </w:rPr>
        <w:t xml:space="preserve">Committee on the Elimination of Racial Discrimination, Concluding Observations: Norway (2011) (CERD/C/NOR/CO/19-90), para. </w:t>
      </w:r>
      <w:r w:rsidRPr="005942FA">
        <w:t xml:space="preserve">17; </w:t>
      </w:r>
      <w:r w:rsidRPr="005942FA">
        <w:rPr>
          <w:noProof/>
        </w:rPr>
        <w:t>Human Right</w:t>
      </w:r>
      <w:r>
        <w:rPr>
          <w:noProof/>
        </w:rPr>
        <w:t>s</w:t>
      </w:r>
      <w:r w:rsidRPr="005942FA">
        <w:rPr>
          <w:noProof/>
        </w:rPr>
        <w:t xml:space="preserve"> Committee, Concluding Observations: Germany (2012) (CCPR/C/DEU/CO/6), para. </w:t>
      </w:r>
      <w:r w:rsidRPr="005942FA">
        <w:t xml:space="preserve">16. </w:t>
      </w:r>
    </w:p>
  </w:footnote>
  <w:footnote w:id="77">
    <w:p w:rsidR="006854E2" w:rsidRPr="005942FA" w:rsidRDefault="006854E2" w:rsidP="006854E2">
      <w:pPr>
        <w:pStyle w:val="FootnoteText"/>
        <w:rPr>
          <w:lang w:val="nl-NL"/>
        </w:rPr>
      </w:pPr>
      <w:r>
        <w:rPr>
          <w:lang w:val="fr-CH"/>
        </w:rPr>
        <w:tab/>
      </w:r>
      <w:r w:rsidRPr="005942FA">
        <w:rPr>
          <w:rStyle w:val="FootnoteReference"/>
          <w:szCs w:val="18"/>
        </w:rPr>
        <w:footnoteRef/>
      </w:r>
      <w:r>
        <w:rPr>
          <w:lang w:val="fr-CH"/>
        </w:rPr>
        <w:tab/>
      </w:r>
      <w:r w:rsidRPr="004D32FF">
        <w:rPr>
          <w:lang w:eastAsia="ja-JP"/>
        </w:rPr>
        <w:t>E/C.12/1997/8</w:t>
      </w:r>
      <w:r>
        <w:rPr>
          <w:lang w:eastAsia="ja-JP"/>
        </w:rPr>
        <w:t xml:space="preserve"> (</w:t>
      </w:r>
      <w:r w:rsidRPr="00422E2C">
        <w:t>General Comment No. 8: The relationship between economic sanctions and respect for economic, social and cultural rights</w:t>
      </w:r>
      <w:r w:rsidRPr="00404E87">
        <w:t>) (1997)</w:t>
      </w:r>
      <w:r w:rsidRPr="00404E87">
        <w:rPr>
          <w:lang w:eastAsia="ja-JP"/>
        </w:rPr>
        <w:t xml:space="preserve">; </w:t>
      </w:r>
      <w:r w:rsidRPr="00404E87">
        <w:rPr>
          <w:bCs/>
        </w:rPr>
        <w:t>Articles on Responsibility of States for Internationally Wrongful Acts</w:t>
      </w:r>
      <w:r w:rsidRPr="005942FA">
        <w:rPr>
          <w:bCs/>
        </w:rPr>
        <w:t>, art. 50 (counter-measures by a State or group of States in response to an internationally wrongful act by another State may not affect “obligations for the protection of fundamental human rights”).</w:t>
      </w:r>
    </w:p>
  </w:footnote>
  <w:footnote w:id="78">
    <w:p w:rsidR="006854E2" w:rsidRPr="005942FA" w:rsidRDefault="006854E2" w:rsidP="006854E2">
      <w:pPr>
        <w:pStyle w:val="FootnoteText"/>
      </w:pPr>
      <w:r>
        <w:rPr>
          <w:lang w:val="fr-CH"/>
        </w:rPr>
        <w:tab/>
      </w:r>
      <w:r w:rsidRPr="005942FA">
        <w:rPr>
          <w:rStyle w:val="FootnoteReference"/>
          <w:rFonts w:eastAsia="Calibri"/>
          <w:szCs w:val="18"/>
        </w:rPr>
        <w:footnoteRef/>
      </w:r>
      <w:r>
        <w:rPr>
          <w:lang w:val="fr-CH"/>
        </w:rPr>
        <w:tab/>
      </w:r>
      <w:r w:rsidRPr="005942FA">
        <w:t>A/HRC/19/59/Add.5 (Report of the Special Rapporteur on the right to food: Addendum on guiding principles on human rights impact assessments of trade and investment agreements).</w:t>
      </w:r>
    </w:p>
  </w:footnote>
  <w:footnote w:id="79">
    <w:p w:rsidR="006854E2" w:rsidRPr="005942FA" w:rsidRDefault="006854E2" w:rsidP="006854E2">
      <w:pPr>
        <w:pStyle w:val="FootnoteText"/>
      </w:pPr>
      <w:r>
        <w:rPr>
          <w:lang w:val="fr-CH"/>
        </w:rPr>
        <w:tab/>
      </w:r>
      <w:r w:rsidRPr="005942FA">
        <w:rPr>
          <w:rStyle w:val="FootnoteReference"/>
          <w:rFonts w:eastAsia="Calibri"/>
          <w:szCs w:val="18"/>
        </w:rPr>
        <w:footnoteRef/>
      </w:r>
      <w:r w:rsidRPr="007A3EF7">
        <w:rPr>
          <w:lang w:val="en-US"/>
        </w:rPr>
        <w:tab/>
      </w:r>
      <w:r w:rsidRPr="005942FA">
        <w:rPr>
          <w:i/>
        </w:rPr>
        <w:t>See</w:t>
      </w:r>
      <w:r w:rsidRPr="005942FA">
        <w:t>,</w:t>
      </w:r>
      <w:r w:rsidRPr="005942FA">
        <w:rPr>
          <w:i/>
        </w:rPr>
        <w:t xml:space="preserve"> e.g.</w:t>
      </w:r>
      <w:r w:rsidRPr="005942FA">
        <w:t>, G</w:t>
      </w:r>
      <w:r>
        <w:t>C</w:t>
      </w:r>
      <w:r w:rsidRPr="005942FA">
        <w:t xml:space="preserve"> 14, para. 39; or </w:t>
      </w:r>
      <w:r>
        <w:t xml:space="preserve">GC </w:t>
      </w:r>
      <w:r w:rsidRPr="005942FA">
        <w:t xml:space="preserve">15, paras. 31-33. </w:t>
      </w:r>
      <w:r w:rsidRPr="005942FA">
        <w:rPr>
          <w:rFonts w:eastAsia="Verdana"/>
          <w:i/>
        </w:rPr>
        <w:t>See also</w:t>
      </w:r>
      <w:r w:rsidRPr="005942FA">
        <w:rPr>
          <w:rFonts w:eastAsia="Verdana"/>
        </w:rPr>
        <w:t xml:space="preserve"> Commentary to Maastricht Principles on the Extraterritorial Obligations of States in the Area of Economic, Social and Cultural Rights, commentary to the Principles 25 and 26.</w:t>
      </w:r>
    </w:p>
  </w:footnote>
  <w:footnote w:id="80">
    <w:p w:rsidR="006854E2" w:rsidRPr="005942FA" w:rsidRDefault="006854E2" w:rsidP="006854E2">
      <w:pPr>
        <w:pStyle w:val="FootnoteText"/>
        <w:rPr>
          <w:lang w:val="nl-NL"/>
        </w:rPr>
      </w:pPr>
      <w:r>
        <w:rPr>
          <w:lang w:val="fr-CH"/>
        </w:rPr>
        <w:tab/>
      </w:r>
      <w:r w:rsidRPr="005942FA">
        <w:rPr>
          <w:rStyle w:val="FootnoteReference"/>
          <w:szCs w:val="18"/>
        </w:rPr>
        <w:footnoteRef/>
      </w:r>
      <w:r>
        <w:rPr>
          <w:lang w:val="fr-CH"/>
        </w:rPr>
        <w:tab/>
      </w:r>
      <w:r w:rsidRPr="005942FA">
        <w:rPr>
          <w:lang w:val="nl-NL"/>
        </w:rPr>
        <w:t>Recommendation CM/Rev(2016)</w:t>
      </w:r>
      <w:r>
        <w:rPr>
          <w:lang w:val="nl-NL"/>
        </w:rPr>
        <w:t>/</w:t>
      </w:r>
      <w:r w:rsidRPr="005942FA">
        <w:rPr>
          <w:lang w:val="nl-NL"/>
        </w:rPr>
        <w:t>3 of the Committee of Ministers of the Council of Europe on business and human rights, Annex, para. 13</w:t>
      </w:r>
      <w:r w:rsidRPr="005942FA">
        <w:t xml:space="preserve">. </w:t>
      </w:r>
    </w:p>
  </w:footnote>
  <w:footnote w:id="81">
    <w:p w:rsidR="006854E2" w:rsidRPr="005942FA" w:rsidRDefault="006854E2" w:rsidP="006854E2">
      <w:pPr>
        <w:pStyle w:val="FootnoteText"/>
        <w:rPr>
          <w:lang w:val="nl-NL"/>
        </w:rPr>
      </w:pPr>
      <w:r>
        <w:rPr>
          <w:lang w:val="fr-CH"/>
        </w:rPr>
        <w:tab/>
      </w:r>
      <w:r w:rsidRPr="005942FA">
        <w:rPr>
          <w:rStyle w:val="FootnoteReference"/>
          <w:szCs w:val="18"/>
        </w:rPr>
        <w:footnoteRef/>
      </w:r>
      <w:r w:rsidRPr="007A3EF7">
        <w:rPr>
          <w:lang w:val="en-US"/>
        </w:rPr>
        <w:tab/>
      </w:r>
      <w:r w:rsidRPr="005942FA">
        <w:rPr>
          <w:color w:val="000000"/>
        </w:rPr>
        <w:t xml:space="preserve">International Court of Justice, </w:t>
      </w:r>
      <w:r w:rsidRPr="005942FA">
        <w:rPr>
          <w:i/>
          <w:color w:val="000000"/>
        </w:rPr>
        <w:t>Case concerning Application of the Convention on the Prevention and Punishment of the Crime of Genocide (Bosnia and Herzegovina v. Serbia and Montenegro)</w:t>
      </w:r>
      <w:r w:rsidRPr="005942FA">
        <w:rPr>
          <w:color w:val="000000"/>
        </w:rPr>
        <w:t xml:space="preserve"> (Judgment of 26 February 2007), </w:t>
      </w:r>
      <w:r w:rsidRPr="005942FA">
        <w:rPr>
          <w:i/>
          <w:color w:val="000000"/>
        </w:rPr>
        <w:t>ICJ Reports</w:t>
      </w:r>
      <w:r w:rsidRPr="005942FA">
        <w:rPr>
          <w:color w:val="000000"/>
        </w:rPr>
        <w:t>, para</w:t>
      </w:r>
      <w:r>
        <w:rPr>
          <w:color w:val="000000"/>
        </w:rPr>
        <w:t>s</w:t>
      </w:r>
      <w:r w:rsidRPr="005942FA">
        <w:rPr>
          <w:color w:val="000000"/>
        </w:rPr>
        <w:t>. 430 and 461</w:t>
      </w:r>
      <w:r w:rsidRPr="005942FA">
        <w:t xml:space="preserve">. </w:t>
      </w:r>
    </w:p>
  </w:footnote>
  <w:footnote w:id="82">
    <w:p w:rsidR="006854E2" w:rsidRPr="005942FA" w:rsidRDefault="006854E2" w:rsidP="006854E2">
      <w:pPr>
        <w:pStyle w:val="FootnoteText"/>
        <w:rPr>
          <w:lang w:val="nl-NL"/>
        </w:rPr>
      </w:pPr>
      <w:r w:rsidRPr="007A3EF7">
        <w:rPr>
          <w:lang w:val="en-US"/>
        </w:rPr>
        <w:tab/>
      </w:r>
      <w:r w:rsidRPr="005942FA">
        <w:rPr>
          <w:rStyle w:val="FootnoteReference"/>
          <w:rFonts w:eastAsia="Calibri"/>
          <w:szCs w:val="18"/>
        </w:rPr>
        <w:footnoteRef/>
      </w:r>
      <w:r w:rsidRPr="007A3EF7">
        <w:rPr>
          <w:lang w:val="en-US"/>
        </w:rPr>
        <w:tab/>
      </w:r>
      <w:r w:rsidRPr="005942FA">
        <w:rPr>
          <w:bCs/>
        </w:rPr>
        <w:t>Articles on Responsibility of States for Internationally Wrongful Acts</w:t>
      </w:r>
      <w:r w:rsidRPr="005942FA">
        <w:t>, a</w:t>
      </w:r>
      <w:r w:rsidRPr="005942FA">
        <w:rPr>
          <w:lang w:eastAsia="ja-JP"/>
        </w:rPr>
        <w:t>rt. 23, cmt. 2.</w:t>
      </w:r>
    </w:p>
  </w:footnote>
  <w:footnote w:id="83">
    <w:p w:rsidR="006854E2" w:rsidRPr="004C3744" w:rsidRDefault="006854E2" w:rsidP="006854E2">
      <w:pPr>
        <w:pStyle w:val="FootnoteText"/>
        <w:rPr>
          <w:lang w:val="fr-FR" w:eastAsia="fr-FR"/>
        </w:rPr>
      </w:pPr>
      <w:r w:rsidRPr="007A3EF7">
        <w:rPr>
          <w:lang w:val="en-US"/>
        </w:rPr>
        <w:tab/>
      </w:r>
      <w:r w:rsidRPr="00760CC3">
        <w:rPr>
          <w:rStyle w:val="FootnoteReference"/>
          <w:szCs w:val="18"/>
        </w:rPr>
        <w:footnoteRef/>
      </w:r>
      <w:r>
        <w:rPr>
          <w:lang w:val="fr-CH"/>
        </w:rPr>
        <w:tab/>
      </w:r>
      <w:r w:rsidRPr="004C3744">
        <w:rPr>
          <w:lang w:val="fr-FR" w:eastAsia="fr-FR"/>
        </w:rPr>
        <w:t xml:space="preserve">Report of the Special Representative of the Secretary-General on the issue of human rights and transnational corporations and other business enterprises to the 8th session of the Human Rights Council, Addendum: Corporations and human rights: a survey of the scope and patterns of alleged corporate-related human rights abuse, A/HRC/8/5/Add.2 (2008). </w:t>
      </w:r>
    </w:p>
  </w:footnote>
  <w:footnote w:id="84">
    <w:p w:rsidR="006854E2" w:rsidRPr="005942FA" w:rsidRDefault="006854E2" w:rsidP="006854E2">
      <w:pPr>
        <w:pStyle w:val="FootnoteText"/>
        <w:rPr>
          <w:lang w:val="nl-NL"/>
        </w:rPr>
      </w:pPr>
      <w:r>
        <w:rPr>
          <w:lang w:val="fr-CH"/>
        </w:rPr>
        <w:tab/>
      </w:r>
      <w:r w:rsidRPr="005942FA">
        <w:rPr>
          <w:rStyle w:val="FootnoteReference"/>
          <w:szCs w:val="18"/>
        </w:rPr>
        <w:footnoteRef/>
      </w:r>
      <w:r>
        <w:rPr>
          <w:lang w:val="fr-CH"/>
        </w:rPr>
        <w:tab/>
      </w:r>
      <w:r w:rsidRPr="005942FA">
        <w:rPr>
          <w:lang w:val="nl-NL"/>
        </w:rPr>
        <w:t>Guiding Principles, Principle 13.</w:t>
      </w:r>
    </w:p>
  </w:footnote>
  <w:footnote w:id="85">
    <w:p w:rsidR="006854E2" w:rsidRPr="005942FA" w:rsidRDefault="006854E2" w:rsidP="006854E2">
      <w:pPr>
        <w:pStyle w:val="FootnoteText"/>
        <w:rPr>
          <w:lang w:val="nl-NL"/>
        </w:rPr>
      </w:pPr>
      <w:r>
        <w:rPr>
          <w:lang w:val="fr-CH"/>
        </w:rPr>
        <w:tab/>
      </w:r>
      <w:r w:rsidRPr="005942FA">
        <w:rPr>
          <w:rStyle w:val="FootnoteReference"/>
          <w:szCs w:val="18"/>
        </w:rPr>
        <w:footnoteRef/>
      </w:r>
      <w:r>
        <w:rPr>
          <w:lang w:val="fr-CH"/>
        </w:rPr>
        <w:tab/>
      </w:r>
      <w:r w:rsidRPr="005942FA">
        <w:rPr>
          <w:lang w:val="nl-NL"/>
        </w:rPr>
        <w:t>Res. 26/22.</w:t>
      </w:r>
    </w:p>
  </w:footnote>
  <w:footnote w:id="86">
    <w:p w:rsidR="006854E2" w:rsidRPr="005942FA" w:rsidRDefault="006854E2" w:rsidP="006854E2">
      <w:pPr>
        <w:pStyle w:val="FootnoteText"/>
        <w:rPr>
          <w:lang w:val="nl-NL"/>
        </w:rPr>
      </w:pPr>
      <w:r>
        <w:rPr>
          <w:lang w:val="fr-CH"/>
        </w:rPr>
        <w:tab/>
      </w:r>
      <w:r w:rsidRPr="005942FA">
        <w:rPr>
          <w:rStyle w:val="FootnoteReference"/>
          <w:szCs w:val="18"/>
        </w:rPr>
        <w:footnoteRef/>
      </w:r>
      <w:r>
        <w:rPr>
          <w:lang w:val="fr-CH"/>
        </w:rPr>
        <w:tab/>
      </w:r>
      <w:r w:rsidRPr="005942FA">
        <w:rPr>
          <w:lang w:val="nl-NL"/>
        </w:rPr>
        <w:t xml:space="preserve">A/HRC/32/19, paras. 24-28 and the Annex to the Report, Guidance to improve corporate accountability and access to judicial remedy for business-related human rights abuse, paras. 9.1-9.7 and 10.1, and paras. 17.1-17.5 (for public law enforcement) and 18.1-18.2 (for private law enforcement). </w:t>
      </w:r>
    </w:p>
  </w:footnote>
  <w:footnote w:id="87">
    <w:p w:rsidR="006854E2" w:rsidRPr="005942FA" w:rsidRDefault="006854E2" w:rsidP="006854E2">
      <w:pPr>
        <w:pStyle w:val="FootnoteText"/>
        <w:rPr>
          <w:highlight w:val="yellow"/>
        </w:rPr>
      </w:pPr>
      <w:r>
        <w:rPr>
          <w:rFonts w:eastAsia="Verdana"/>
          <w:lang w:val="fr-CH"/>
        </w:rPr>
        <w:tab/>
      </w:r>
      <w:r w:rsidRPr="005942FA">
        <w:rPr>
          <w:rFonts w:eastAsia="Verdana"/>
          <w:vertAlign w:val="superscript"/>
        </w:rPr>
        <w:footnoteRef/>
      </w:r>
      <w:r>
        <w:rPr>
          <w:rFonts w:eastAsia="Verdana"/>
          <w:lang w:val="fr-CH"/>
        </w:rPr>
        <w:tab/>
      </w:r>
      <w:r w:rsidRPr="005942FA">
        <w:rPr>
          <w:rFonts w:eastAsia="Verdana"/>
        </w:rPr>
        <w:t>Commentary to the Maastricht Principles on the Extraterritorial Obligations of States in the Area of Economic, Social and Cultural Rights, commentary to Principle 28.</w:t>
      </w:r>
    </w:p>
  </w:footnote>
  <w:footnote w:id="88">
    <w:p w:rsidR="006854E2" w:rsidRPr="005942FA" w:rsidRDefault="006854E2" w:rsidP="006854E2">
      <w:pPr>
        <w:pStyle w:val="FootnoteText"/>
        <w:rPr>
          <w:highlight w:val="yellow"/>
        </w:rPr>
      </w:pPr>
      <w:r>
        <w:rPr>
          <w:lang w:val="fr-CH"/>
        </w:rPr>
        <w:tab/>
      </w:r>
      <w:r w:rsidRPr="005942FA">
        <w:rPr>
          <w:rStyle w:val="FootnoteReference"/>
          <w:rFonts w:eastAsia="Calibri"/>
          <w:szCs w:val="18"/>
        </w:rPr>
        <w:footnoteRef/>
      </w:r>
      <w:r w:rsidRPr="007A3EF7">
        <w:rPr>
          <w:lang w:val="en-US"/>
        </w:rPr>
        <w:tab/>
      </w:r>
      <w:r w:rsidRPr="005942FA">
        <w:t xml:space="preserve">G.A. Res. </w:t>
      </w:r>
      <w:proofErr w:type="gramStart"/>
      <w:r w:rsidRPr="005942FA">
        <w:t>217A(</w:t>
      </w:r>
      <w:proofErr w:type="gramEnd"/>
      <w:r w:rsidRPr="005942FA">
        <w:t xml:space="preserve">III) (Dec. 10, 1948), art. 28. </w:t>
      </w:r>
    </w:p>
  </w:footnote>
  <w:footnote w:id="89">
    <w:p w:rsidR="006854E2" w:rsidRPr="005942FA" w:rsidRDefault="006854E2" w:rsidP="006854E2">
      <w:pPr>
        <w:pStyle w:val="FootnoteText"/>
        <w:rPr>
          <w:lang w:val="nl-NL"/>
        </w:rPr>
      </w:pPr>
      <w:r w:rsidRPr="007A3EF7">
        <w:rPr>
          <w:lang w:val="en-US"/>
        </w:rPr>
        <w:tab/>
      </w:r>
      <w:r w:rsidRPr="005942FA">
        <w:rPr>
          <w:rStyle w:val="FootnoteReference"/>
          <w:szCs w:val="18"/>
        </w:rPr>
        <w:footnoteRef/>
      </w:r>
      <w:r w:rsidRPr="007A3EF7">
        <w:rPr>
          <w:lang w:val="en-US"/>
        </w:rPr>
        <w:tab/>
      </w:r>
      <w:r w:rsidRPr="005942FA">
        <w:rPr>
          <w:lang w:val="nl-NL"/>
        </w:rPr>
        <w:t xml:space="preserve">Concluding Observations on </w:t>
      </w:r>
      <w:r w:rsidRPr="005942FA">
        <w:t xml:space="preserve">the sixth periodic report of the United Kingdom of Great Britain and Northern Ireland (E/C.12/GBR/CO/6, 14 July 2016), paras. 16-17; CEDAW </w:t>
      </w:r>
      <w:r w:rsidRPr="00422E2C">
        <w:rPr>
          <w:lang w:eastAsia="ja-JP"/>
        </w:rPr>
        <w:t>Concluding Observations on the combined fourth and fifth reports of Switzerland (CEDAW/C/CHE/CO/4-5) (18 November 2016), para. 41.</w:t>
      </w:r>
    </w:p>
  </w:footnote>
  <w:footnote w:id="90">
    <w:p w:rsidR="006854E2" w:rsidRPr="005942FA" w:rsidRDefault="006854E2" w:rsidP="006854E2">
      <w:pPr>
        <w:pStyle w:val="FootnoteText"/>
      </w:pPr>
      <w:r>
        <w:rPr>
          <w:lang w:val="fr-CH"/>
        </w:rPr>
        <w:tab/>
      </w:r>
      <w:r w:rsidRPr="005942FA">
        <w:rPr>
          <w:rStyle w:val="FootnoteReference"/>
          <w:szCs w:val="18"/>
        </w:rPr>
        <w:footnoteRef/>
      </w:r>
      <w:r w:rsidRPr="007A3EF7">
        <w:rPr>
          <w:lang w:val="en-US"/>
        </w:rPr>
        <w:tab/>
      </w:r>
      <w:r w:rsidRPr="005942FA">
        <w:t xml:space="preserve">Declaration on the Rights of Indigenous Peoples, art. 14; A Business Reference Guide: United Nations Declaration on the Rights of Indigenous Peoples, pp. 21-24; and </w:t>
      </w:r>
      <w:r w:rsidR="003D3E35">
        <w:rPr>
          <w:lang w:eastAsia="ko-KR"/>
        </w:rPr>
        <w:t>A/68/279, para. 56(d).</w:t>
      </w:r>
    </w:p>
  </w:footnote>
  <w:footnote w:id="91">
    <w:p w:rsidR="006854E2" w:rsidRPr="005942FA" w:rsidRDefault="006854E2" w:rsidP="006854E2">
      <w:pPr>
        <w:pStyle w:val="FootnoteText"/>
        <w:rPr>
          <w:lang w:val="en-US"/>
        </w:rPr>
      </w:pPr>
      <w:r>
        <w:rPr>
          <w:rFonts w:eastAsia="Verdana"/>
          <w:lang w:val="en-US"/>
        </w:rPr>
        <w:tab/>
      </w:r>
      <w:r w:rsidRPr="005942FA">
        <w:rPr>
          <w:rFonts w:eastAsia="Verdana"/>
          <w:shd w:val="clear" w:color="auto" w:fill="FEFEFE"/>
          <w:vertAlign w:val="superscript"/>
        </w:rPr>
        <w:footnoteRef/>
      </w:r>
      <w:r>
        <w:rPr>
          <w:rFonts w:eastAsia="Verdana"/>
          <w:lang w:val="en-US"/>
        </w:rPr>
        <w:tab/>
      </w:r>
      <w:r w:rsidRPr="005942FA">
        <w:rPr>
          <w:rFonts w:eastAsia="Verdana"/>
          <w:lang w:val="en-US"/>
        </w:rPr>
        <w:t>Guiding Principles, Principle 8.</w:t>
      </w:r>
    </w:p>
  </w:footnote>
  <w:footnote w:id="92">
    <w:p w:rsidR="006854E2" w:rsidRPr="005942FA" w:rsidRDefault="006854E2" w:rsidP="006854E2">
      <w:pPr>
        <w:pStyle w:val="FootnoteText"/>
      </w:pPr>
      <w:r>
        <w:rPr>
          <w:lang w:val="fr-CH"/>
        </w:rPr>
        <w:tab/>
      </w:r>
      <w:r w:rsidRPr="005942FA">
        <w:rPr>
          <w:rFonts w:eastAsia="Verdana"/>
          <w:vertAlign w:val="superscript"/>
        </w:rPr>
        <w:footnoteRef/>
      </w:r>
      <w:r>
        <w:rPr>
          <w:lang w:val="fr-CH"/>
        </w:rPr>
        <w:tab/>
      </w:r>
      <w:r w:rsidRPr="005942FA">
        <w:t>E/C.12/1998/24 (General Comment No. 9 (1998): The domestic application of the Covenant)</w:t>
      </w:r>
      <w:r w:rsidRPr="005942FA">
        <w:rPr>
          <w:rFonts w:eastAsia="Verdana"/>
        </w:rPr>
        <w:t>, para. 2.</w:t>
      </w:r>
    </w:p>
  </w:footnote>
  <w:footnote w:id="93">
    <w:p w:rsidR="006854E2" w:rsidRPr="005942FA" w:rsidRDefault="006854E2" w:rsidP="006854E2">
      <w:pPr>
        <w:pStyle w:val="FootnoteText"/>
      </w:pPr>
      <w:r>
        <w:rPr>
          <w:rFonts w:eastAsia="Verdana"/>
          <w:lang w:val="fr-CH"/>
        </w:rPr>
        <w:tab/>
      </w:r>
      <w:r w:rsidRPr="005942FA">
        <w:rPr>
          <w:rFonts w:eastAsia="Verdana"/>
          <w:vertAlign w:val="superscript"/>
        </w:rPr>
        <w:footnoteRef/>
      </w:r>
      <w:r>
        <w:rPr>
          <w:rFonts w:eastAsia="Verdana"/>
          <w:lang w:val="fr-CH"/>
        </w:rPr>
        <w:tab/>
      </w:r>
      <w:proofErr w:type="gramStart"/>
      <w:r w:rsidRPr="005942FA">
        <w:rPr>
          <w:rFonts w:eastAsia="Verdana"/>
        </w:rPr>
        <w:t>Ibid.,</w:t>
      </w:r>
      <w:proofErr w:type="gramEnd"/>
      <w:r w:rsidRPr="005942FA">
        <w:rPr>
          <w:rFonts w:eastAsia="Verdana"/>
        </w:rPr>
        <w:t xml:space="preserve"> para. 3.</w:t>
      </w:r>
      <w:r>
        <w:rPr>
          <w:rFonts w:eastAsia="Verdana"/>
        </w:rPr>
        <w:t xml:space="preserve"> See also </w:t>
      </w:r>
      <w:r w:rsidRPr="005942FA">
        <w:rPr>
          <w:i/>
        </w:rPr>
        <w:t>I.D.G. v. Spain</w:t>
      </w:r>
      <w:r w:rsidRPr="005942FA">
        <w:t>, Communication No. 2/2014, 13 Oct. 2015 (E/C.12/55/D/2/2014) paras. 14-15.</w:t>
      </w:r>
    </w:p>
  </w:footnote>
  <w:footnote w:id="94">
    <w:p w:rsidR="006854E2" w:rsidRPr="005942FA" w:rsidRDefault="006854E2" w:rsidP="006854E2">
      <w:pPr>
        <w:pStyle w:val="FootnoteText"/>
      </w:pPr>
      <w:r>
        <w:rPr>
          <w:rFonts w:eastAsia="Verdana"/>
          <w:lang w:val="fr-CH"/>
        </w:rPr>
        <w:tab/>
      </w:r>
      <w:r w:rsidRPr="005942FA">
        <w:rPr>
          <w:rFonts w:eastAsia="Verdana"/>
          <w:vertAlign w:val="superscript"/>
        </w:rPr>
        <w:footnoteRef/>
      </w:r>
      <w:r w:rsidRPr="007A3EF7">
        <w:rPr>
          <w:rFonts w:eastAsia="Verdana"/>
          <w:lang w:val="en-US"/>
        </w:rPr>
        <w:tab/>
      </w:r>
      <w:r w:rsidRPr="005942FA">
        <w:rPr>
          <w:rFonts w:eastAsia="Verdana"/>
        </w:rPr>
        <w:t>A/RES/60/147 (2005) (</w:t>
      </w:r>
      <w:hyperlink r:id="rId2" w:history="1">
        <w:r w:rsidRPr="005942FA">
          <w:rPr>
            <w:rStyle w:val="Hyperlink4"/>
            <w:rFonts w:ascii="Times New Roman" w:hAnsi="Times New Roman" w:cs="Times New Roman"/>
            <w:color w:val="auto"/>
            <w:sz w:val="18"/>
            <w:szCs w:val="18"/>
            <w:lang w:val="x-none"/>
          </w:rPr>
          <w:t>Basic Principles and Guidelines on the Right to a Remedy and Reparation for Victims of Gross Violations of International Human Rights Law and Serious Violations of International Humanitarian Law</w:t>
        </w:r>
      </w:hyperlink>
      <w:r w:rsidRPr="005942FA">
        <w:rPr>
          <w:rStyle w:val="Hyperlink4"/>
          <w:rFonts w:ascii="Times New Roman" w:hAnsi="Times New Roman" w:cs="Times New Roman"/>
          <w:color w:val="auto"/>
          <w:sz w:val="18"/>
          <w:szCs w:val="18"/>
          <w:lang w:val="x-none"/>
        </w:rPr>
        <w:t>)</w:t>
      </w:r>
      <w:r w:rsidRPr="005942FA">
        <w:rPr>
          <w:rFonts w:eastAsia="Verdana"/>
        </w:rPr>
        <w:t xml:space="preserve">, art. 3 (a)-(d). </w:t>
      </w:r>
    </w:p>
  </w:footnote>
  <w:footnote w:id="95">
    <w:p w:rsidR="006854E2" w:rsidRPr="005942FA" w:rsidRDefault="006854E2" w:rsidP="006854E2">
      <w:pPr>
        <w:pStyle w:val="FootnoteText"/>
      </w:pPr>
      <w:r w:rsidRPr="007A3EF7">
        <w:rPr>
          <w:rFonts w:eastAsia="Verdana"/>
          <w:lang w:val="en-US"/>
        </w:rPr>
        <w:tab/>
      </w:r>
      <w:r w:rsidRPr="005942FA">
        <w:rPr>
          <w:rFonts w:eastAsia="Verdana"/>
          <w:vertAlign w:val="superscript"/>
        </w:rPr>
        <w:footnoteRef/>
      </w:r>
      <w:r w:rsidRPr="007A3EF7">
        <w:rPr>
          <w:rFonts w:eastAsia="Verdana"/>
          <w:lang w:val="en-US"/>
        </w:rPr>
        <w:tab/>
      </w:r>
      <w:proofErr w:type="gramStart"/>
      <w:r w:rsidRPr="005942FA">
        <w:rPr>
          <w:rFonts w:eastAsia="Verdana"/>
        </w:rPr>
        <w:t>Ibid.</w:t>
      </w:r>
      <w:r w:rsidRPr="00E65AFC">
        <w:rPr>
          <w:rFonts w:eastAsia="Verdana"/>
        </w:rPr>
        <w:t>,</w:t>
      </w:r>
      <w:proofErr w:type="gramEnd"/>
      <w:r>
        <w:rPr>
          <w:rFonts w:eastAsia="Verdana"/>
        </w:rPr>
        <w:t xml:space="preserve"> </w:t>
      </w:r>
      <w:r w:rsidRPr="005942FA">
        <w:rPr>
          <w:rFonts w:eastAsia="Verdana"/>
        </w:rPr>
        <w:t>Part IX, “Reparation for harm suffered”.</w:t>
      </w:r>
    </w:p>
  </w:footnote>
  <w:footnote w:id="96">
    <w:p w:rsidR="006854E2" w:rsidRPr="005942FA" w:rsidRDefault="006854E2" w:rsidP="006854E2">
      <w:pPr>
        <w:pStyle w:val="FootnoteText"/>
        <w:rPr>
          <w:lang w:val="nl-NL"/>
        </w:rPr>
      </w:pPr>
      <w:r w:rsidRPr="007A3EF7">
        <w:rPr>
          <w:lang w:val="en-US"/>
        </w:rPr>
        <w:tab/>
      </w:r>
      <w:r w:rsidRPr="005942FA">
        <w:rPr>
          <w:rStyle w:val="FootnoteReference"/>
          <w:szCs w:val="18"/>
        </w:rPr>
        <w:footnoteRef/>
      </w:r>
      <w:r w:rsidRPr="007A3EF7">
        <w:rPr>
          <w:lang w:val="en-US"/>
        </w:rPr>
        <w:tab/>
      </w:r>
      <w:r w:rsidRPr="005942FA">
        <w:t xml:space="preserve">See further </w:t>
      </w:r>
      <w:r w:rsidRPr="005942FA">
        <w:rPr>
          <w:lang w:val="nl-NL"/>
        </w:rPr>
        <w:t>Recommendation CM/</w:t>
      </w:r>
      <w:proofErr w:type="gramStart"/>
      <w:r w:rsidRPr="005942FA">
        <w:rPr>
          <w:lang w:val="nl-NL"/>
        </w:rPr>
        <w:t>Rev(</w:t>
      </w:r>
      <w:proofErr w:type="gramEnd"/>
      <w:r w:rsidRPr="005942FA">
        <w:rPr>
          <w:lang w:val="nl-NL"/>
        </w:rPr>
        <w:t>2016)3 of the Committee of Ministers of the Council of Europe on business and human rights, Annex, para. 34.</w:t>
      </w:r>
    </w:p>
  </w:footnote>
  <w:footnote w:id="97">
    <w:p w:rsidR="006854E2" w:rsidRPr="005942FA" w:rsidRDefault="006854E2" w:rsidP="006854E2">
      <w:pPr>
        <w:pStyle w:val="FootnoteText"/>
        <w:rPr>
          <w:lang w:val="nl-NL"/>
        </w:rPr>
      </w:pPr>
      <w:r>
        <w:rPr>
          <w:lang w:val="fr-CH"/>
        </w:rPr>
        <w:tab/>
      </w:r>
      <w:r w:rsidRPr="005942FA">
        <w:rPr>
          <w:rStyle w:val="FootnoteReference"/>
          <w:szCs w:val="18"/>
        </w:rPr>
        <w:footnoteRef/>
      </w:r>
      <w:r w:rsidRPr="007A3EF7">
        <w:rPr>
          <w:lang w:val="en-US"/>
        </w:rPr>
        <w:tab/>
      </w:r>
      <w:r w:rsidRPr="005942FA">
        <w:rPr>
          <w:lang w:val="nl-NL"/>
        </w:rPr>
        <w:t xml:space="preserve">As already noted by the Committee in the specific context of actions alleging discrimination: GC 20, para. 40. </w:t>
      </w:r>
      <w:r w:rsidRPr="00E65AFC">
        <w:rPr>
          <w:i/>
          <w:lang w:val="nl-NL"/>
        </w:rPr>
        <w:t>See also</w:t>
      </w:r>
      <w:r w:rsidRPr="005942FA">
        <w:rPr>
          <w:lang w:val="nl-NL"/>
        </w:rPr>
        <w:t xml:space="preserve"> Office of the High Commissioner for Human Rights, Guidance to improve corporate accountability and access to judicial remedy for business-related human rights abuse prepared by the Office of the High Commissioner for Human Rights (A/HRC/32/19, Annex</w:t>
      </w:r>
      <w:r w:rsidRPr="005942FA">
        <w:t xml:space="preserve">) , para. 12.5 </w:t>
      </w:r>
      <w:proofErr w:type="gramStart"/>
      <w:r w:rsidRPr="005942FA">
        <w:t>in</w:t>
      </w:r>
      <w:proofErr w:type="gramEnd"/>
      <w:r w:rsidRPr="005942FA">
        <w:t xml:space="preserve"> relation to civil cases and 1.7 in relation to criminal and quasi criminal cases.</w:t>
      </w:r>
    </w:p>
  </w:footnote>
  <w:footnote w:id="98">
    <w:p w:rsidR="006854E2" w:rsidRPr="005942FA" w:rsidRDefault="006854E2" w:rsidP="006854E2">
      <w:pPr>
        <w:pStyle w:val="FootnoteText"/>
      </w:pPr>
      <w:r w:rsidRPr="007A3EF7">
        <w:rPr>
          <w:lang w:val="en-US" w:eastAsia="ko-KR"/>
        </w:rPr>
        <w:tab/>
      </w:r>
      <w:r w:rsidRPr="005942FA">
        <w:rPr>
          <w:rStyle w:val="FootnoteReference"/>
          <w:szCs w:val="18"/>
        </w:rPr>
        <w:footnoteRef/>
      </w:r>
      <w:r>
        <w:rPr>
          <w:lang w:val="fr-CH" w:eastAsia="ko-KR"/>
        </w:rPr>
        <w:tab/>
      </w:r>
      <w:r w:rsidRPr="005942FA">
        <w:rPr>
          <w:lang w:eastAsia="ko-KR"/>
        </w:rPr>
        <w:t xml:space="preserve">A/68/279, paras 50-53; </w:t>
      </w:r>
      <w:r w:rsidRPr="005942FA">
        <w:t>A Business Reference Guide: United Nations Declaration on the Rights of Indigenous Peoples, p. 39.</w:t>
      </w:r>
    </w:p>
  </w:footnote>
  <w:footnote w:id="99">
    <w:p w:rsidR="006854E2" w:rsidRPr="005942FA" w:rsidRDefault="006854E2" w:rsidP="006854E2">
      <w:pPr>
        <w:pStyle w:val="FootnoteText"/>
        <w:rPr>
          <w:lang w:val="en-US"/>
        </w:rPr>
      </w:pPr>
      <w:r>
        <w:rPr>
          <w:lang w:val="en-US"/>
        </w:rPr>
        <w:tab/>
      </w:r>
      <w:r w:rsidRPr="005942FA">
        <w:rPr>
          <w:rFonts w:eastAsia="Verdana"/>
          <w:shd w:val="clear" w:color="auto" w:fill="FEFEFE"/>
          <w:vertAlign w:val="superscript"/>
          <w:lang w:val="en-US"/>
        </w:rPr>
        <w:footnoteRef/>
      </w:r>
      <w:r>
        <w:rPr>
          <w:lang w:val="en-US"/>
        </w:rPr>
        <w:tab/>
      </w:r>
      <w:r w:rsidRPr="005942FA">
        <w:rPr>
          <w:lang w:val="en-US"/>
        </w:rPr>
        <w:t>See the Statement adopted on 7 October 2016, Human Rights Defenders and Economic, Social and Cultural Rights (</w:t>
      </w:r>
      <w:r w:rsidRPr="005942FA">
        <w:t xml:space="preserve">E/C.12/2016/2). </w:t>
      </w:r>
      <w:r w:rsidRPr="005942FA">
        <w:rPr>
          <w:rFonts w:eastAsia="Verdana"/>
          <w:i/>
          <w:lang w:val="en-US"/>
        </w:rPr>
        <w:t>See also</w:t>
      </w:r>
      <w:r w:rsidRPr="005942FA">
        <w:rPr>
          <w:rFonts w:eastAsia="Verdana"/>
          <w:lang w:val="en-US"/>
        </w:rPr>
        <w:t xml:space="preserve"> A/HRC/31/L.28 (Protecting Human Rights Defenders Addressing Economic, Social and Cultural Rights); A/RES/53/144 (Declaration on the Right and Responsibility of Individuals, Groups and Organs of Society to Promote and Protect Universally Recognized Human Rights and Fundamental Freedoms).</w:t>
      </w:r>
    </w:p>
  </w:footnote>
  <w:footnote w:id="100">
    <w:p w:rsidR="006854E2" w:rsidRPr="005942FA" w:rsidRDefault="006854E2" w:rsidP="006854E2">
      <w:pPr>
        <w:pStyle w:val="FootnoteText"/>
        <w:rPr>
          <w:lang w:val="en-US"/>
        </w:rPr>
      </w:pPr>
      <w:r>
        <w:rPr>
          <w:lang w:val="en-US"/>
        </w:rPr>
        <w:tab/>
      </w:r>
      <w:r w:rsidRPr="005942FA">
        <w:rPr>
          <w:rFonts w:eastAsia="Verdana"/>
          <w:vertAlign w:val="superscript"/>
          <w:lang w:val="en-US"/>
        </w:rPr>
        <w:footnoteRef/>
      </w:r>
      <w:r>
        <w:rPr>
          <w:lang w:val="en-US"/>
        </w:rPr>
        <w:tab/>
      </w:r>
      <w:r w:rsidRPr="005942FA">
        <w:rPr>
          <w:rFonts w:eastAsia="Verdana"/>
          <w:i/>
          <w:lang w:val="en-US"/>
        </w:rPr>
        <w:t>See, e.g.</w:t>
      </w:r>
      <w:r w:rsidRPr="005942FA">
        <w:rPr>
          <w:rFonts w:eastAsia="Verdana"/>
          <w:lang w:val="en-US"/>
        </w:rPr>
        <w:t xml:space="preserve">, </w:t>
      </w:r>
      <w:r w:rsidRPr="005942FA">
        <w:t>E/C.12/VNM/CO/2-4 (Concluding observations on the second to fourth periodic reports of Viet Nam (2014))</w:t>
      </w:r>
      <w:r w:rsidRPr="005942FA">
        <w:rPr>
          <w:rFonts w:eastAsia="Verdana"/>
          <w:lang w:val="en-US"/>
        </w:rPr>
        <w:t>, para. 11; E/C.12/1/Add.44 (Concluding observations on the initial report of Egypt (2000)), para. 19; E/C.12/IND/CO/5 (Concluding observations on the fifth report of India (2008)), paras. 12, 50; E/C.12/PHIL/CO/4 (Concluding observations on the second to fourth periodic reports of the Philippines (2008)), para 15; E/C.12/COD/CO/4 (Concluding observations on the second to fourth reports of the Democratic Republic of Congo (2009)), para. 12; E/C.12/LKA/CO/2-4 (Concluding observations on the second to fourth reports of Sri Lanka (2010)), para. 10; E/C.12/IDN/CO/1 (Concluding observations on the initial report of Indonesia (2014)), para. 28.</w:t>
      </w:r>
    </w:p>
  </w:footnote>
  <w:footnote w:id="101">
    <w:p w:rsidR="006854E2" w:rsidRPr="005942FA" w:rsidRDefault="006854E2" w:rsidP="006854E2">
      <w:pPr>
        <w:pStyle w:val="FootnoteText"/>
        <w:rPr>
          <w:lang w:val="nl-NL"/>
        </w:rPr>
      </w:pPr>
      <w:r>
        <w:rPr>
          <w:lang w:val="fr-CH"/>
        </w:rPr>
        <w:tab/>
      </w:r>
      <w:r w:rsidRPr="005942FA">
        <w:rPr>
          <w:rStyle w:val="FootnoteReference"/>
          <w:szCs w:val="18"/>
        </w:rPr>
        <w:footnoteRef/>
      </w:r>
      <w:r>
        <w:rPr>
          <w:lang w:val="fr-CH"/>
        </w:rPr>
        <w:tab/>
      </w:r>
      <w:r w:rsidRPr="005942FA">
        <w:t>See further the</w:t>
      </w:r>
      <w:r w:rsidRPr="005942FA">
        <w:rPr>
          <w:lang w:val="nl-NL"/>
        </w:rPr>
        <w:t xml:space="preserve"> Guidance to improve corporate accountability and access to judicial remedy for business-related human rights abuse prepared by the Office of the High Commissioner for Human Rights (A/HRC/32/19, Annex</w:t>
      </w:r>
      <w:r w:rsidRPr="005942FA">
        <w:t>) (see in particular Policy Objectives 4-8 of the guidance), as well as the</w:t>
      </w:r>
      <w:r w:rsidRPr="005942FA">
        <w:rPr>
          <w:lang w:val="nl-NL"/>
        </w:rPr>
        <w:t xml:space="preserve"> </w:t>
      </w:r>
      <w:r w:rsidRPr="005942FA">
        <w:rPr>
          <w:i/>
          <w:lang w:val="nl-NL"/>
        </w:rPr>
        <w:t>Corporate Crimes Principles</w:t>
      </w:r>
      <w:r w:rsidRPr="005942FA">
        <w:rPr>
          <w:lang w:val="nl-NL"/>
        </w:rPr>
        <w:t xml:space="preserve"> developed by the Independent Commission of Experts established by the International Corporate Accountability Roundtable and Amnest</w:t>
      </w:r>
      <w:r>
        <w:rPr>
          <w:lang w:val="nl-NL"/>
        </w:rPr>
        <w:t>y International in October 2016.</w:t>
      </w:r>
      <w:r w:rsidRPr="005942FA">
        <w:rPr>
          <w:lang w:val="nl-NL"/>
        </w:rPr>
        <w:t xml:space="preserve"> </w:t>
      </w:r>
    </w:p>
  </w:footnote>
  <w:footnote w:id="102">
    <w:p w:rsidR="006854E2" w:rsidRPr="005942FA" w:rsidRDefault="006854E2" w:rsidP="006854E2">
      <w:pPr>
        <w:pStyle w:val="FootnoteText"/>
        <w:rPr>
          <w:lang w:val="nl-NL"/>
        </w:rPr>
      </w:pPr>
      <w:r>
        <w:rPr>
          <w:lang w:val="fr-CH"/>
        </w:rPr>
        <w:tab/>
      </w:r>
      <w:r w:rsidRPr="005942FA">
        <w:rPr>
          <w:rStyle w:val="FootnoteReference"/>
          <w:szCs w:val="18"/>
        </w:rPr>
        <w:footnoteRef/>
      </w:r>
      <w:r w:rsidRPr="007A3EF7">
        <w:rPr>
          <w:lang w:val="en-US"/>
        </w:rPr>
        <w:tab/>
      </w:r>
      <w:r w:rsidRPr="00E65AFC">
        <w:rPr>
          <w:i/>
        </w:rPr>
        <w:t>See, e.g</w:t>
      </w:r>
      <w:r w:rsidRPr="005942FA">
        <w:t xml:space="preserve">., </w:t>
      </w:r>
      <w:r w:rsidRPr="005942FA">
        <w:rPr>
          <w:lang w:eastAsia="ja-JP"/>
        </w:rPr>
        <w:t xml:space="preserve">ICSID Case No. ARB/07/26, </w:t>
      </w:r>
      <w:r w:rsidRPr="005942FA">
        <w:rPr>
          <w:i/>
        </w:rPr>
        <w:t xml:space="preserve">Urbaser S.A. </w:t>
      </w:r>
      <w:r w:rsidRPr="005942FA">
        <w:rPr>
          <w:i/>
          <w:lang w:eastAsia="ja-JP"/>
        </w:rPr>
        <w:t>et al.</w:t>
      </w:r>
      <w:r w:rsidRPr="005942FA">
        <w:rPr>
          <w:i/>
        </w:rPr>
        <w:t xml:space="preserve"> v. Argentina</w:t>
      </w:r>
      <w:r w:rsidRPr="005942FA">
        <w:rPr>
          <w:lang w:val="nl-NL"/>
        </w:rPr>
        <w:t>, Award of 8 December 2016, paras. 1194-1195.</w:t>
      </w:r>
    </w:p>
  </w:footnote>
  <w:footnote w:id="103">
    <w:p w:rsidR="006854E2" w:rsidRPr="005942FA" w:rsidRDefault="006854E2" w:rsidP="006854E2">
      <w:pPr>
        <w:pStyle w:val="FootnoteText"/>
      </w:pPr>
      <w:r>
        <w:rPr>
          <w:lang w:val="fr-CH"/>
        </w:rPr>
        <w:tab/>
      </w:r>
      <w:r w:rsidRPr="005942FA">
        <w:rPr>
          <w:rStyle w:val="FootnoteReference"/>
          <w:szCs w:val="18"/>
        </w:rPr>
        <w:footnoteRef/>
      </w:r>
      <w:r w:rsidRPr="007A3EF7">
        <w:rPr>
          <w:lang w:val="en-US"/>
        </w:rPr>
        <w:tab/>
      </w:r>
      <w:r w:rsidRPr="005942FA">
        <w:t>A/68/279</w:t>
      </w:r>
      <w:r w:rsidRPr="005942FA">
        <w:rPr>
          <w:lang w:eastAsia="ko-KR"/>
        </w:rPr>
        <w:t>, cited above</w:t>
      </w:r>
      <w:r>
        <w:rPr>
          <w:lang w:eastAsia="ko-KR"/>
        </w:rPr>
        <w:t xml:space="preserve"> n. 44</w:t>
      </w:r>
      <w:r w:rsidRPr="005942FA">
        <w:rPr>
          <w:lang w:eastAsia="ko-KR"/>
        </w:rPr>
        <w:t xml:space="preserve">, para. 34; and </w:t>
      </w:r>
      <w:r w:rsidRPr="005942FA">
        <w:t xml:space="preserve">CERD General Recommendation No. 31 on the prevention of racial discrimination in the administration and functioning of the criminal justice system (2005), para 5(e). </w:t>
      </w:r>
    </w:p>
  </w:footnote>
  <w:footnote w:id="104">
    <w:p w:rsidR="006854E2" w:rsidRPr="005942FA" w:rsidRDefault="006854E2" w:rsidP="006854E2">
      <w:pPr>
        <w:pStyle w:val="FootnoteText"/>
      </w:pPr>
      <w:r w:rsidRPr="007A3EF7">
        <w:rPr>
          <w:lang w:val="en-US"/>
        </w:rPr>
        <w:tab/>
      </w:r>
      <w:r w:rsidRPr="005942FA">
        <w:rPr>
          <w:rStyle w:val="FootnoteReference"/>
          <w:szCs w:val="18"/>
        </w:rPr>
        <w:footnoteRef/>
      </w:r>
      <w:r>
        <w:rPr>
          <w:lang w:val="fr-CH"/>
        </w:rPr>
        <w:tab/>
      </w:r>
      <w:r w:rsidRPr="005942FA">
        <w:t>A Business Reference Guide: United Nations Declaration on the Rights of Indigenous Peoples, pp. 11-2; and CERD General Recommendation No. 31 on the prevention of racial discrimination in the administration and functioning of the criminal justice system (2005), para 30.</w:t>
      </w:r>
    </w:p>
  </w:footnote>
  <w:footnote w:id="105">
    <w:p w:rsidR="006854E2" w:rsidRPr="005942FA" w:rsidRDefault="006854E2" w:rsidP="006854E2">
      <w:pPr>
        <w:pStyle w:val="FootnoteText"/>
        <w:rPr>
          <w:lang w:val="en-US"/>
        </w:rPr>
      </w:pPr>
      <w:r>
        <w:rPr>
          <w:rFonts w:eastAsia="Verdana"/>
          <w:lang w:val="en-US"/>
        </w:rPr>
        <w:tab/>
      </w:r>
      <w:r w:rsidRPr="005942FA">
        <w:rPr>
          <w:rFonts w:eastAsia="Verdana"/>
          <w:shd w:val="clear" w:color="auto" w:fill="FEFEFE"/>
          <w:vertAlign w:val="superscript"/>
          <w:lang w:val="en-US"/>
        </w:rPr>
        <w:footnoteRef/>
      </w:r>
      <w:r>
        <w:rPr>
          <w:rFonts w:eastAsia="Verdana"/>
          <w:lang w:val="en-US"/>
        </w:rPr>
        <w:tab/>
        <w:t xml:space="preserve">See </w:t>
      </w:r>
      <w:r w:rsidRPr="005942FA">
        <w:rPr>
          <w:rFonts w:eastAsia="Verdana"/>
          <w:lang w:val="en-US"/>
        </w:rPr>
        <w:t>Guiding Principles, Principle 31.</w:t>
      </w:r>
    </w:p>
  </w:footnote>
  <w:footnote w:id="106">
    <w:p w:rsidR="006854E2" w:rsidRPr="005942FA" w:rsidRDefault="006854E2" w:rsidP="006854E2">
      <w:pPr>
        <w:pStyle w:val="FootnoteText"/>
      </w:pPr>
      <w:r>
        <w:rPr>
          <w:lang w:val="fr-CH"/>
        </w:rPr>
        <w:tab/>
      </w:r>
      <w:r w:rsidRPr="005942FA">
        <w:rPr>
          <w:rStyle w:val="FootnoteReference"/>
          <w:szCs w:val="18"/>
        </w:rPr>
        <w:footnoteRef/>
      </w:r>
      <w:r>
        <w:rPr>
          <w:lang w:val="fr-CH"/>
        </w:rPr>
        <w:tab/>
      </w:r>
      <w:r w:rsidRPr="005942FA">
        <w:t>A Business Reference Guide: United Nations Declaration on the Rights of Indigenous Peoples, pp. 34-35.</w:t>
      </w:r>
    </w:p>
  </w:footnote>
  <w:footnote w:id="107">
    <w:p w:rsidR="006854E2" w:rsidRPr="005942FA" w:rsidRDefault="006854E2" w:rsidP="006854E2">
      <w:pPr>
        <w:pStyle w:val="FootnoteText"/>
      </w:pPr>
      <w:r>
        <w:rPr>
          <w:lang w:val="fr-CH"/>
        </w:rPr>
        <w:tab/>
      </w:r>
      <w:r w:rsidRPr="005942FA">
        <w:rPr>
          <w:rStyle w:val="FootnoteReference"/>
          <w:szCs w:val="18"/>
        </w:rPr>
        <w:footnoteRef/>
      </w:r>
      <w:r>
        <w:rPr>
          <w:lang w:val="fr-CH"/>
        </w:rPr>
        <w:tab/>
      </w:r>
      <w:r w:rsidRPr="005942FA">
        <w:t>A/68/279</w:t>
      </w:r>
      <w:r w:rsidRPr="005942FA">
        <w:rPr>
          <w:lang w:eastAsia="ko-KR"/>
        </w:rPr>
        <w:t>, para. 36.</w:t>
      </w:r>
    </w:p>
  </w:footnote>
  <w:footnote w:id="108">
    <w:p w:rsidR="006854E2" w:rsidRPr="005942FA" w:rsidRDefault="006854E2" w:rsidP="006854E2">
      <w:pPr>
        <w:pStyle w:val="FootnoteText"/>
        <w:rPr>
          <w:lang w:val="en-US"/>
        </w:rPr>
      </w:pPr>
      <w:r>
        <w:rPr>
          <w:rFonts w:eastAsia="Verdana"/>
          <w:lang w:val="en-US"/>
        </w:rPr>
        <w:tab/>
      </w:r>
      <w:r w:rsidRPr="005942FA">
        <w:rPr>
          <w:rFonts w:eastAsia="Verdana"/>
          <w:shd w:val="clear" w:color="auto" w:fill="FEFEFE"/>
          <w:vertAlign w:val="superscript"/>
          <w:lang w:val="en-US"/>
        </w:rPr>
        <w:footnoteRef/>
      </w:r>
      <w:r>
        <w:rPr>
          <w:rFonts w:eastAsia="Verdana"/>
          <w:lang w:val="en-US"/>
        </w:rPr>
        <w:tab/>
      </w:r>
      <w:r w:rsidRPr="005942FA">
        <w:rPr>
          <w:rFonts w:eastAsia="Verdana"/>
          <w:lang w:val="en-US"/>
        </w:rPr>
        <w:t>Guiding Principles, Principle 27.</w:t>
      </w:r>
    </w:p>
  </w:footnote>
  <w:footnote w:id="109">
    <w:p w:rsidR="006854E2" w:rsidRPr="005942FA" w:rsidRDefault="006854E2" w:rsidP="006854E2">
      <w:pPr>
        <w:pStyle w:val="FootnoteText"/>
        <w:rPr>
          <w:lang w:val="nl-NL"/>
        </w:rPr>
      </w:pPr>
      <w:r>
        <w:rPr>
          <w:lang w:val="fr-CH"/>
        </w:rPr>
        <w:tab/>
      </w:r>
      <w:r w:rsidRPr="005942FA">
        <w:rPr>
          <w:rStyle w:val="FootnoteReference"/>
          <w:szCs w:val="18"/>
        </w:rPr>
        <w:footnoteRef/>
      </w:r>
      <w:r>
        <w:rPr>
          <w:lang w:val="fr-CH"/>
        </w:rPr>
        <w:tab/>
      </w:r>
      <w:r w:rsidRPr="005942FA">
        <w:rPr>
          <w:lang w:val="nl-NL"/>
        </w:rPr>
        <w:t>Recommendation CM/Rev(2016)3 of the Committee of Ministers of the Council of Europe on business and human rights, Annex, paras. 10-12.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4E2" w:rsidRPr="006854E2" w:rsidRDefault="007A3EF7">
    <w:pPr>
      <w:pStyle w:val="Header"/>
    </w:pPr>
    <w:r>
      <w:fldChar w:fldCharType="begin"/>
    </w:r>
    <w:r>
      <w:instrText xml:space="preserve"> TITLE  \* MERGEFORMAT </w:instrText>
    </w:r>
    <w:r>
      <w:fldChar w:fldCharType="separate"/>
    </w:r>
    <w:r w:rsidR="00F72B02">
      <w:t>E/C.12/</w:t>
    </w:r>
    <w:r w:rsidR="001D4148">
      <w:t>GC/24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4E2" w:rsidRPr="006854E2" w:rsidRDefault="007A3EF7" w:rsidP="006854E2">
    <w:pPr>
      <w:pStyle w:val="Header"/>
      <w:jc w:val="right"/>
    </w:pPr>
    <w:r>
      <w:fldChar w:fldCharType="begin"/>
    </w:r>
    <w:r>
      <w:instrText xml:space="preserve"> TITLE  \* MERGEFORMAT </w:instrText>
    </w:r>
    <w:r>
      <w:fldChar w:fldCharType="separate"/>
    </w:r>
    <w:r w:rsidR="00F72B02">
      <w:t>E/C.12/</w:t>
    </w:r>
    <w:r w:rsidR="001D4148">
      <w:t>GC/24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A4521"/>
    <w:multiLevelType w:val="multilevel"/>
    <w:tmpl w:val="9FA058BA"/>
    <w:styleLink w:val="Style9import"/>
    <w:lvl w:ilvl="0">
      <w:start w:val="1"/>
      <w:numFmt w:val="bullet"/>
      <w:lvlText w:val="•"/>
      <w:lvlJc w:val="left"/>
      <w:pPr>
        <w:tabs>
          <w:tab w:val="num" w:pos="104"/>
        </w:tabs>
      </w:pPr>
      <w:rPr>
        <w:rFonts w:ascii="Verdana" w:eastAsia="Verdana" w:hAnsi="Verdana" w:cs="Verdana"/>
        <w:i/>
        <w:iCs/>
        <w:position w:val="0"/>
        <w:sz w:val="24"/>
        <w:szCs w:val="24"/>
        <w:lang w:val="en-US"/>
      </w:rPr>
    </w:lvl>
    <w:lvl w:ilvl="1">
      <w:start w:val="1"/>
      <w:numFmt w:val="bullet"/>
      <w:lvlText w:val="•"/>
      <w:lvlJc w:val="left"/>
      <w:pPr>
        <w:tabs>
          <w:tab w:val="num" w:pos="104"/>
        </w:tabs>
      </w:pPr>
      <w:rPr>
        <w:rFonts w:ascii="Verdana" w:eastAsia="Verdana" w:hAnsi="Verdana" w:cs="Verdana"/>
        <w:i/>
        <w:iCs/>
        <w:position w:val="0"/>
        <w:sz w:val="24"/>
        <w:szCs w:val="24"/>
        <w:lang w:val="en-US"/>
      </w:rPr>
    </w:lvl>
    <w:lvl w:ilvl="2">
      <w:start w:val="1"/>
      <w:numFmt w:val="bullet"/>
      <w:lvlText w:val="•"/>
      <w:lvlJc w:val="left"/>
      <w:pPr>
        <w:tabs>
          <w:tab w:val="num" w:pos="540"/>
        </w:tabs>
        <w:ind w:left="540" w:hanging="180"/>
      </w:pPr>
      <w:rPr>
        <w:rFonts w:ascii="Verdana" w:eastAsia="Verdana" w:hAnsi="Verdana" w:cs="Verdana"/>
        <w:i/>
        <w:iCs/>
        <w:position w:val="0"/>
        <w:sz w:val="22"/>
        <w:szCs w:val="22"/>
        <w:lang w:val="en-US"/>
      </w:rPr>
    </w:lvl>
    <w:lvl w:ilvl="3">
      <w:start w:val="1"/>
      <w:numFmt w:val="bullet"/>
      <w:lvlText w:val="•"/>
      <w:lvlJc w:val="left"/>
      <w:pPr>
        <w:tabs>
          <w:tab w:val="num" w:pos="104"/>
        </w:tabs>
      </w:pPr>
      <w:rPr>
        <w:rFonts w:ascii="Verdana" w:eastAsia="Verdana" w:hAnsi="Verdana" w:cs="Verdana"/>
        <w:i/>
        <w:iCs/>
        <w:position w:val="0"/>
        <w:sz w:val="24"/>
        <w:szCs w:val="24"/>
        <w:lang w:val="en-US"/>
      </w:rPr>
    </w:lvl>
    <w:lvl w:ilvl="4">
      <w:start w:val="1"/>
      <w:numFmt w:val="bullet"/>
      <w:lvlText w:val="•"/>
      <w:lvlJc w:val="left"/>
      <w:pPr>
        <w:tabs>
          <w:tab w:val="num" w:pos="104"/>
        </w:tabs>
      </w:pPr>
      <w:rPr>
        <w:rFonts w:ascii="Verdana" w:eastAsia="Verdana" w:hAnsi="Verdana" w:cs="Verdana"/>
        <w:i/>
        <w:iCs/>
        <w:position w:val="0"/>
        <w:sz w:val="24"/>
        <w:szCs w:val="24"/>
        <w:lang w:val="en-US"/>
      </w:rPr>
    </w:lvl>
    <w:lvl w:ilvl="5">
      <w:start w:val="1"/>
      <w:numFmt w:val="bullet"/>
      <w:lvlText w:val="•"/>
      <w:lvlJc w:val="left"/>
      <w:pPr>
        <w:tabs>
          <w:tab w:val="num" w:pos="104"/>
        </w:tabs>
      </w:pPr>
      <w:rPr>
        <w:rFonts w:ascii="Verdana" w:eastAsia="Verdana" w:hAnsi="Verdana" w:cs="Verdana"/>
        <w:i/>
        <w:iCs/>
        <w:position w:val="0"/>
        <w:sz w:val="24"/>
        <w:szCs w:val="24"/>
        <w:lang w:val="en-US"/>
      </w:rPr>
    </w:lvl>
    <w:lvl w:ilvl="6">
      <w:start w:val="1"/>
      <w:numFmt w:val="bullet"/>
      <w:lvlText w:val="•"/>
      <w:lvlJc w:val="left"/>
      <w:pPr>
        <w:tabs>
          <w:tab w:val="num" w:pos="104"/>
        </w:tabs>
      </w:pPr>
      <w:rPr>
        <w:rFonts w:ascii="Verdana" w:eastAsia="Verdana" w:hAnsi="Verdana" w:cs="Verdana"/>
        <w:i/>
        <w:iCs/>
        <w:position w:val="0"/>
        <w:sz w:val="24"/>
        <w:szCs w:val="24"/>
        <w:lang w:val="en-US"/>
      </w:rPr>
    </w:lvl>
    <w:lvl w:ilvl="7">
      <w:start w:val="1"/>
      <w:numFmt w:val="bullet"/>
      <w:lvlText w:val="•"/>
      <w:lvlJc w:val="left"/>
      <w:pPr>
        <w:tabs>
          <w:tab w:val="num" w:pos="104"/>
        </w:tabs>
      </w:pPr>
      <w:rPr>
        <w:rFonts w:ascii="Verdana" w:eastAsia="Verdana" w:hAnsi="Verdana" w:cs="Verdana"/>
        <w:i/>
        <w:iCs/>
        <w:position w:val="0"/>
        <w:sz w:val="24"/>
        <w:szCs w:val="24"/>
        <w:lang w:val="en-US"/>
      </w:rPr>
    </w:lvl>
    <w:lvl w:ilvl="8">
      <w:start w:val="1"/>
      <w:numFmt w:val="bullet"/>
      <w:lvlText w:val="•"/>
      <w:lvlJc w:val="left"/>
      <w:pPr>
        <w:tabs>
          <w:tab w:val="num" w:pos="104"/>
        </w:tabs>
      </w:pPr>
      <w:rPr>
        <w:rFonts w:ascii="Verdana" w:eastAsia="Verdana" w:hAnsi="Verdana" w:cs="Verdana"/>
        <w:i/>
        <w:iCs/>
        <w:position w:val="0"/>
        <w:sz w:val="24"/>
        <w:szCs w:val="24"/>
        <w:lang w:val="en-US"/>
      </w:rPr>
    </w:lvl>
  </w:abstractNum>
  <w:abstractNum w:abstractNumId="1" w15:restartNumberingAfterBreak="0">
    <w:nsid w:val="0DF40962"/>
    <w:multiLevelType w:val="multilevel"/>
    <w:tmpl w:val="528ACFB2"/>
    <w:styleLink w:val="List31"/>
    <w:lvl w:ilvl="0">
      <w:start w:val="1"/>
      <w:numFmt w:val="bullet"/>
      <w:lvlText w:val="•"/>
      <w:lvlJc w:val="left"/>
      <w:pPr>
        <w:tabs>
          <w:tab w:val="num" w:pos="180"/>
        </w:tabs>
        <w:ind w:left="180" w:hanging="180"/>
      </w:pPr>
      <w:rPr>
        <w:rFonts w:ascii="Verdana" w:eastAsia="Verdana" w:hAnsi="Verdana" w:cs="Verdana"/>
        <w:color w:val="000000"/>
        <w:position w:val="0"/>
        <w:sz w:val="22"/>
        <w:szCs w:val="22"/>
        <w:u w:color="000000"/>
        <w:lang w:val="en-US"/>
      </w:rPr>
    </w:lvl>
    <w:lvl w:ilvl="1">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2">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3">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4">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5">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6">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7">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8">
      <w:start w:val="1"/>
      <w:numFmt w:val="bullet"/>
      <w:lvlText w:val="•"/>
      <w:lvlJc w:val="left"/>
      <w:pPr>
        <w:tabs>
          <w:tab w:val="num" w:pos="108"/>
        </w:tabs>
      </w:pPr>
      <w:rPr>
        <w:rFonts w:ascii="Verdana" w:eastAsia="Verdana" w:hAnsi="Verdana" w:cs="Verdana"/>
        <w:color w:val="000000"/>
        <w:position w:val="0"/>
        <w:sz w:val="22"/>
        <w:szCs w:val="22"/>
        <w:u w:color="000000"/>
        <w:lang w:val="en-US"/>
      </w:rPr>
    </w:lvl>
  </w:abstractNum>
  <w:abstractNum w:abstractNumId="2" w15:restartNumberingAfterBreak="0">
    <w:nsid w:val="1E5559B7"/>
    <w:multiLevelType w:val="multilevel"/>
    <w:tmpl w:val="FE9C5080"/>
    <w:styleLink w:val="List21"/>
    <w:lvl w:ilvl="0">
      <w:start w:val="1"/>
      <w:numFmt w:val="decimal"/>
      <w:lvlText w:val="%1."/>
      <w:lvlJc w:val="left"/>
      <w:pPr>
        <w:tabs>
          <w:tab w:val="num" w:pos="887"/>
        </w:tabs>
        <w:ind w:left="887" w:hanging="197"/>
      </w:pPr>
      <w:rPr>
        <w:rFonts w:ascii="Verdana" w:eastAsia="Verdana" w:hAnsi="Verdana" w:cs="Verdana"/>
        <w:b/>
        <w:bCs/>
        <w:position w:val="0"/>
        <w:sz w:val="24"/>
        <w:szCs w:val="24"/>
        <w:lang w:val="fr-FR"/>
      </w:rPr>
    </w:lvl>
    <w:lvl w:ilvl="1">
      <w:start w:val="1"/>
      <w:numFmt w:val="lowerLetter"/>
      <w:lvlText w:val="%2."/>
      <w:lvlJc w:val="left"/>
      <w:pPr>
        <w:tabs>
          <w:tab w:val="num" w:pos="1760"/>
        </w:tabs>
        <w:ind w:left="1760" w:hanging="360"/>
      </w:pPr>
      <w:rPr>
        <w:rFonts w:ascii="Verdana" w:eastAsia="Verdana" w:hAnsi="Verdana" w:cs="Verdana"/>
        <w:b/>
        <w:bCs/>
        <w:position w:val="0"/>
        <w:sz w:val="24"/>
        <w:szCs w:val="24"/>
        <w:lang w:val="fr-FR"/>
      </w:rPr>
    </w:lvl>
    <w:lvl w:ilvl="2">
      <w:start w:val="1"/>
      <w:numFmt w:val="lowerRoman"/>
      <w:lvlText w:val="%3."/>
      <w:lvlJc w:val="left"/>
      <w:pPr>
        <w:tabs>
          <w:tab w:val="num" w:pos="2480"/>
        </w:tabs>
        <w:ind w:left="2480" w:hanging="296"/>
      </w:pPr>
      <w:rPr>
        <w:rFonts w:ascii="Verdana" w:eastAsia="Verdana" w:hAnsi="Verdana" w:cs="Verdana"/>
        <w:b/>
        <w:bCs/>
        <w:position w:val="0"/>
        <w:sz w:val="24"/>
        <w:szCs w:val="24"/>
        <w:lang w:val="fr-FR"/>
      </w:rPr>
    </w:lvl>
    <w:lvl w:ilvl="3">
      <w:start w:val="1"/>
      <w:numFmt w:val="decimal"/>
      <w:lvlText w:val="%4."/>
      <w:lvlJc w:val="left"/>
      <w:pPr>
        <w:tabs>
          <w:tab w:val="num" w:pos="3200"/>
        </w:tabs>
        <w:ind w:left="3200" w:hanging="360"/>
      </w:pPr>
      <w:rPr>
        <w:rFonts w:ascii="Verdana" w:eastAsia="Verdana" w:hAnsi="Verdana" w:cs="Verdana"/>
        <w:b/>
        <w:bCs/>
        <w:position w:val="0"/>
        <w:sz w:val="24"/>
        <w:szCs w:val="24"/>
        <w:lang w:val="fr-FR"/>
      </w:rPr>
    </w:lvl>
    <w:lvl w:ilvl="4">
      <w:start w:val="1"/>
      <w:numFmt w:val="lowerLetter"/>
      <w:lvlText w:val="%5."/>
      <w:lvlJc w:val="left"/>
      <w:pPr>
        <w:tabs>
          <w:tab w:val="num" w:pos="3920"/>
        </w:tabs>
        <w:ind w:left="3920" w:hanging="360"/>
      </w:pPr>
      <w:rPr>
        <w:rFonts w:ascii="Verdana" w:eastAsia="Verdana" w:hAnsi="Verdana" w:cs="Verdana"/>
        <w:b/>
        <w:bCs/>
        <w:position w:val="0"/>
        <w:sz w:val="24"/>
        <w:szCs w:val="24"/>
        <w:lang w:val="fr-FR"/>
      </w:rPr>
    </w:lvl>
    <w:lvl w:ilvl="5">
      <w:start w:val="1"/>
      <w:numFmt w:val="lowerRoman"/>
      <w:lvlText w:val="%6."/>
      <w:lvlJc w:val="left"/>
      <w:pPr>
        <w:tabs>
          <w:tab w:val="num" w:pos="4640"/>
        </w:tabs>
        <w:ind w:left="4640" w:hanging="296"/>
      </w:pPr>
      <w:rPr>
        <w:rFonts w:ascii="Verdana" w:eastAsia="Verdana" w:hAnsi="Verdana" w:cs="Verdana"/>
        <w:b/>
        <w:bCs/>
        <w:position w:val="0"/>
        <w:sz w:val="24"/>
        <w:szCs w:val="24"/>
        <w:lang w:val="fr-FR"/>
      </w:rPr>
    </w:lvl>
    <w:lvl w:ilvl="6">
      <w:start w:val="1"/>
      <w:numFmt w:val="decimal"/>
      <w:lvlText w:val="%7."/>
      <w:lvlJc w:val="left"/>
      <w:pPr>
        <w:tabs>
          <w:tab w:val="num" w:pos="5360"/>
        </w:tabs>
        <w:ind w:left="5360" w:hanging="360"/>
      </w:pPr>
      <w:rPr>
        <w:rFonts w:ascii="Verdana" w:eastAsia="Verdana" w:hAnsi="Verdana" w:cs="Verdana"/>
        <w:b/>
        <w:bCs/>
        <w:position w:val="0"/>
        <w:sz w:val="24"/>
        <w:szCs w:val="24"/>
        <w:lang w:val="fr-FR"/>
      </w:rPr>
    </w:lvl>
    <w:lvl w:ilvl="7">
      <w:start w:val="1"/>
      <w:numFmt w:val="lowerLetter"/>
      <w:lvlText w:val="%8."/>
      <w:lvlJc w:val="left"/>
      <w:pPr>
        <w:tabs>
          <w:tab w:val="num" w:pos="6080"/>
        </w:tabs>
        <w:ind w:left="6080" w:hanging="360"/>
      </w:pPr>
      <w:rPr>
        <w:rFonts w:ascii="Verdana" w:eastAsia="Verdana" w:hAnsi="Verdana" w:cs="Verdana"/>
        <w:b/>
        <w:bCs/>
        <w:position w:val="0"/>
        <w:sz w:val="24"/>
        <w:szCs w:val="24"/>
        <w:lang w:val="fr-FR"/>
      </w:rPr>
    </w:lvl>
    <w:lvl w:ilvl="8">
      <w:start w:val="1"/>
      <w:numFmt w:val="lowerRoman"/>
      <w:lvlText w:val="%9."/>
      <w:lvlJc w:val="left"/>
      <w:pPr>
        <w:tabs>
          <w:tab w:val="num" w:pos="6800"/>
        </w:tabs>
        <w:ind w:left="6800" w:hanging="296"/>
      </w:pPr>
      <w:rPr>
        <w:rFonts w:ascii="Verdana" w:eastAsia="Verdana" w:hAnsi="Verdana" w:cs="Verdana"/>
        <w:b/>
        <w:bCs/>
        <w:position w:val="0"/>
        <w:sz w:val="24"/>
        <w:szCs w:val="24"/>
        <w:lang w:val="fr-FR"/>
      </w:rPr>
    </w:lvl>
  </w:abstractNum>
  <w:abstractNum w:abstractNumId="3" w15:restartNumberingAfterBreak="0">
    <w:nsid w:val="242D19E2"/>
    <w:multiLevelType w:val="multilevel"/>
    <w:tmpl w:val="55B8E834"/>
    <w:styleLink w:val="List41"/>
    <w:lvl w:ilvl="0">
      <w:start w:val="1"/>
      <w:numFmt w:val="bullet"/>
      <w:lvlText w:val="•"/>
      <w:lvlJc w:val="left"/>
      <w:pPr>
        <w:tabs>
          <w:tab w:val="num" w:pos="273"/>
        </w:tabs>
        <w:ind w:left="273" w:hanging="165"/>
      </w:pPr>
      <w:rPr>
        <w:rFonts w:ascii="Verdana" w:eastAsia="Verdana" w:hAnsi="Verdana" w:cs="Verdana"/>
        <w:i/>
        <w:iCs/>
        <w:color w:val="000000"/>
        <w:position w:val="0"/>
        <w:sz w:val="22"/>
        <w:szCs w:val="22"/>
        <w:u w:color="000000"/>
        <w:lang w:val="en-US"/>
      </w:rPr>
    </w:lvl>
    <w:lvl w:ilvl="1">
      <w:start w:val="1"/>
      <w:numFmt w:val="bullet"/>
      <w:lvlText w:val="•"/>
      <w:lvlJc w:val="left"/>
      <w:pPr>
        <w:tabs>
          <w:tab w:val="num" w:pos="203"/>
        </w:tabs>
      </w:pPr>
      <w:rPr>
        <w:rFonts w:ascii="Verdana" w:eastAsia="Verdana" w:hAnsi="Verdana" w:cs="Verdana"/>
        <w:i/>
        <w:iCs/>
        <w:color w:val="000000"/>
        <w:position w:val="0"/>
        <w:sz w:val="22"/>
        <w:szCs w:val="22"/>
        <w:u w:color="000000"/>
        <w:lang w:val="en-US"/>
      </w:rPr>
    </w:lvl>
    <w:lvl w:ilvl="2">
      <w:start w:val="1"/>
      <w:numFmt w:val="bullet"/>
      <w:lvlText w:val="•"/>
      <w:lvlJc w:val="left"/>
      <w:pPr>
        <w:tabs>
          <w:tab w:val="num" w:pos="203"/>
        </w:tabs>
      </w:pPr>
      <w:rPr>
        <w:rFonts w:ascii="Verdana" w:eastAsia="Verdana" w:hAnsi="Verdana" w:cs="Verdana"/>
        <w:i/>
        <w:iCs/>
        <w:color w:val="000000"/>
        <w:position w:val="0"/>
        <w:sz w:val="22"/>
        <w:szCs w:val="22"/>
        <w:u w:color="000000"/>
        <w:lang w:val="en-US"/>
      </w:rPr>
    </w:lvl>
    <w:lvl w:ilvl="3">
      <w:start w:val="1"/>
      <w:numFmt w:val="bullet"/>
      <w:lvlText w:val="•"/>
      <w:lvlJc w:val="left"/>
      <w:pPr>
        <w:tabs>
          <w:tab w:val="num" w:pos="203"/>
        </w:tabs>
      </w:pPr>
      <w:rPr>
        <w:rFonts w:ascii="Verdana" w:eastAsia="Verdana" w:hAnsi="Verdana" w:cs="Verdana"/>
        <w:i/>
        <w:iCs/>
        <w:color w:val="000000"/>
        <w:position w:val="0"/>
        <w:sz w:val="22"/>
        <w:szCs w:val="22"/>
        <w:u w:color="000000"/>
        <w:lang w:val="en-US"/>
      </w:rPr>
    </w:lvl>
    <w:lvl w:ilvl="4">
      <w:start w:val="1"/>
      <w:numFmt w:val="bullet"/>
      <w:lvlText w:val="•"/>
      <w:lvlJc w:val="left"/>
      <w:pPr>
        <w:tabs>
          <w:tab w:val="num" w:pos="203"/>
        </w:tabs>
      </w:pPr>
      <w:rPr>
        <w:rFonts w:ascii="Verdana" w:eastAsia="Verdana" w:hAnsi="Verdana" w:cs="Verdana"/>
        <w:i/>
        <w:iCs/>
        <w:color w:val="000000"/>
        <w:position w:val="0"/>
        <w:sz w:val="22"/>
        <w:szCs w:val="22"/>
        <w:u w:color="000000"/>
        <w:lang w:val="en-US"/>
      </w:rPr>
    </w:lvl>
    <w:lvl w:ilvl="5">
      <w:start w:val="1"/>
      <w:numFmt w:val="bullet"/>
      <w:lvlText w:val="•"/>
      <w:lvlJc w:val="left"/>
      <w:pPr>
        <w:tabs>
          <w:tab w:val="num" w:pos="203"/>
        </w:tabs>
      </w:pPr>
      <w:rPr>
        <w:rFonts w:ascii="Verdana" w:eastAsia="Verdana" w:hAnsi="Verdana" w:cs="Verdana"/>
        <w:i/>
        <w:iCs/>
        <w:color w:val="000000"/>
        <w:position w:val="0"/>
        <w:sz w:val="22"/>
        <w:szCs w:val="22"/>
        <w:u w:color="000000"/>
        <w:lang w:val="en-US"/>
      </w:rPr>
    </w:lvl>
    <w:lvl w:ilvl="6">
      <w:start w:val="1"/>
      <w:numFmt w:val="bullet"/>
      <w:lvlText w:val="•"/>
      <w:lvlJc w:val="left"/>
      <w:pPr>
        <w:tabs>
          <w:tab w:val="num" w:pos="203"/>
        </w:tabs>
      </w:pPr>
      <w:rPr>
        <w:rFonts w:ascii="Verdana" w:eastAsia="Verdana" w:hAnsi="Verdana" w:cs="Verdana"/>
        <w:i/>
        <w:iCs/>
        <w:color w:val="000000"/>
        <w:position w:val="0"/>
        <w:sz w:val="22"/>
        <w:szCs w:val="22"/>
        <w:u w:color="000000"/>
        <w:lang w:val="en-US"/>
      </w:rPr>
    </w:lvl>
    <w:lvl w:ilvl="7">
      <w:start w:val="1"/>
      <w:numFmt w:val="bullet"/>
      <w:lvlText w:val="•"/>
      <w:lvlJc w:val="left"/>
      <w:pPr>
        <w:tabs>
          <w:tab w:val="num" w:pos="203"/>
        </w:tabs>
      </w:pPr>
      <w:rPr>
        <w:rFonts w:ascii="Verdana" w:eastAsia="Verdana" w:hAnsi="Verdana" w:cs="Verdana"/>
        <w:i/>
        <w:iCs/>
        <w:color w:val="000000"/>
        <w:position w:val="0"/>
        <w:sz w:val="22"/>
        <w:szCs w:val="22"/>
        <w:u w:color="000000"/>
        <w:lang w:val="en-US"/>
      </w:rPr>
    </w:lvl>
    <w:lvl w:ilvl="8">
      <w:start w:val="1"/>
      <w:numFmt w:val="bullet"/>
      <w:lvlText w:val="•"/>
      <w:lvlJc w:val="left"/>
      <w:pPr>
        <w:tabs>
          <w:tab w:val="num" w:pos="203"/>
        </w:tabs>
      </w:pPr>
      <w:rPr>
        <w:rFonts w:ascii="Verdana" w:eastAsia="Verdana" w:hAnsi="Verdana" w:cs="Verdana"/>
        <w:i/>
        <w:iCs/>
        <w:color w:val="000000"/>
        <w:position w:val="0"/>
        <w:sz w:val="22"/>
        <w:szCs w:val="22"/>
        <w:u w:color="000000"/>
        <w:lang w:val="en-US"/>
      </w:rPr>
    </w:lvl>
  </w:abstractNum>
  <w:abstractNum w:abstractNumId="4" w15:restartNumberingAfterBreak="0">
    <w:nsid w:val="299032C2"/>
    <w:multiLevelType w:val="multilevel"/>
    <w:tmpl w:val="E46E07E8"/>
    <w:styleLink w:val="List1"/>
    <w:lvl w:ilvl="0">
      <w:start w:val="1"/>
      <w:numFmt w:val="decimal"/>
      <w:lvlText w:val="%1."/>
      <w:lvlJc w:val="left"/>
      <w:pPr>
        <w:tabs>
          <w:tab w:val="num" w:pos="582"/>
        </w:tabs>
        <w:ind w:left="582" w:hanging="222"/>
      </w:pPr>
      <w:rPr>
        <w:rFonts w:ascii="Verdana" w:eastAsia="Verdana" w:hAnsi="Verdana" w:cs="Verdana"/>
        <w:b/>
        <w:bCs/>
        <w:position w:val="0"/>
        <w:sz w:val="28"/>
        <w:szCs w:val="28"/>
        <w:lang w:val="en-US"/>
      </w:rPr>
    </w:lvl>
    <w:lvl w:ilvl="1">
      <w:start w:val="1"/>
      <w:numFmt w:val="lowerLetter"/>
      <w:lvlText w:val="%2."/>
      <w:lvlJc w:val="left"/>
      <w:pPr>
        <w:tabs>
          <w:tab w:val="num" w:pos="1642"/>
        </w:tabs>
        <w:ind w:left="1642" w:hanging="572"/>
      </w:pPr>
      <w:rPr>
        <w:rFonts w:ascii="Verdana" w:eastAsia="Verdana" w:hAnsi="Verdana" w:cs="Verdana"/>
        <w:b/>
        <w:bCs/>
        <w:position w:val="0"/>
        <w:sz w:val="28"/>
        <w:szCs w:val="28"/>
        <w:lang w:val="en-US"/>
      </w:rPr>
    </w:lvl>
    <w:lvl w:ilvl="2">
      <w:start w:val="1"/>
      <w:numFmt w:val="lowerRoman"/>
      <w:lvlText w:val="%3."/>
      <w:lvlJc w:val="left"/>
      <w:pPr>
        <w:tabs>
          <w:tab w:val="num" w:pos="2307"/>
        </w:tabs>
        <w:ind w:left="2307" w:hanging="470"/>
      </w:pPr>
      <w:rPr>
        <w:rFonts w:ascii="Verdana" w:eastAsia="Verdana" w:hAnsi="Verdana" w:cs="Verdana"/>
        <w:b/>
        <w:bCs/>
        <w:position w:val="0"/>
        <w:sz w:val="28"/>
        <w:szCs w:val="28"/>
        <w:lang w:val="en-US"/>
      </w:rPr>
    </w:lvl>
    <w:lvl w:ilvl="3">
      <w:start w:val="1"/>
      <w:numFmt w:val="decimal"/>
      <w:lvlText w:val="%4."/>
      <w:lvlJc w:val="left"/>
      <w:pPr>
        <w:tabs>
          <w:tab w:val="num" w:pos="3082"/>
        </w:tabs>
        <w:ind w:left="3082" w:hanging="572"/>
      </w:pPr>
      <w:rPr>
        <w:rFonts w:ascii="Verdana" w:eastAsia="Verdana" w:hAnsi="Verdana" w:cs="Verdana"/>
        <w:b/>
        <w:bCs/>
        <w:position w:val="0"/>
        <w:sz w:val="28"/>
        <w:szCs w:val="28"/>
        <w:lang w:val="en-US"/>
      </w:rPr>
    </w:lvl>
    <w:lvl w:ilvl="4">
      <w:start w:val="1"/>
      <w:numFmt w:val="lowerLetter"/>
      <w:lvlText w:val="%5."/>
      <w:lvlJc w:val="left"/>
      <w:pPr>
        <w:tabs>
          <w:tab w:val="num" w:pos="3802"/>
        </w:tabs>
        <w:ind w:left="3802" w:hanging="572"/>
      </w:pPr>
      <w:rPr>
        <w:rFonts w:ascii="Verdana" w:eastAsia="Verdana" w:hAnsi="Verdana" w:cs="Verdana"/>
        <w:b/>
        <w:bCs/>
        <w:position w:val="0"/>
        <w:sz w:val="28"/>
        <w:szCs w:val="28"/>
        <w:lang w:val="en-US"/>
      </w:rPr>
    </w:lvl>
    <w:lvl w:ilvl="5">
      <w:start w:val="1"/>
      <w:numFmt w:val="lowerRoman"/>
      <w:lvlText w:val="%6."/>
      <w:lvlJc w:val="left"/>
      <w:pPr>
        <w:tabs>
          <w:tab w:val="num" w:pos="4467"/>
        </w:tabs>
        <w:ind w:left="4467" w:hanging="470"/>
      </w:pPr>
      <w:rPr>
        <w:rFonts w:ascii="Verdana" w:eastAsia="Verdana" w:hAnsi="Verdana" w:cs="Verdana"/>
        <w:b/>
        <w:bCs/>
        <w:position w:val="0"/>
        <w:sz w:val="28"/>
        <w:szCs w:val="28"/>
        <w:lang w:val="en-US"/>
      </w:rPr>
    </w:lvl>
    <w:lvl w:ilvl="6">
      <w:start w:val="1"/>
      <w:numFmt w:val="decimal"/>
      <w:lvlText w:val="%7."/>
      <w:lvlJc w:val="left"/>
      <w:pPr>
        <w:tabs>
          <w:tab w:val="num" w:pos="5242"/>
        </w:tabs>
        <w:ind w:left="5242" w:hanging="572"/>
      </w:pPr>
      <w:rPr>
        <w:rFonts w:ascii="Verdana" w:eastAsia="Verdana" w:hAnsi="Verdana" w:cs="Verdana"/>
        <w:b/>
        <w:bCs/>
        <w:position w:val="0"/>
        <w:sz w:val="28"/>
        <w:szCs w:val="28"/>
        <w:lang w:val="en-US"/>
      </w:rPr>
    </w:lvl>
    <w:lvl w:ilvl="7">
      <w:start w:val="1"/>
      <w:numFmt w:val="lowerLetter"/>
      <w:lvlText w:val="%8."/>
      <w:lvlJc w:val="left"/>
      <w:pPr>
        <w:tabs>
          <w:tab w:val="num" w:pos="5962"/>
        </w:tabs>
        <w:ind w:left="5962" w:hanging="572"/>
      </w:pPr>
      <w:rPr>
        <w:rFonts w:ascii="Verdana" w:eastAsia="Verdana" w:hAnsi="Verdana" w:cs="Verdana"/>
        <w:b/>
        <w:bCs/>
        <w:position w:val="0"/>
        <w:sz w:val="28"/>
        <w:szCs w:val="28"/>
        <w:lang w:val="en-US"/>
      </w:rPr>
    </w:lvl>
    <w:lvl w:ilvl="8">
      <w:start w:val="1"/>
      <w:numFmt w:val="lowerRoman"/>
      <w:lvlText w:val="%9."/>
      <w:lvlJc w:val="left"/>
      <w:pPr>
        <w:tabs>
          <w:tab w:val="num" w:pos="6627"/>
        </w:tabs>
        <w:ind w:left="6627" w:hanging="470"/>
      </w:pPr>
      <w:rPr>
        <w:rFonts w:ascii="Verdana" w:eastAsia="Verdana" w:hAnsi="Verdana" w:cs="Verdana"/>
        <w:b/>
        <w:bCs/>
        <w:position w:val="0"/>
        <w:sz w:val="28"/>
        <w:szCs w:val="28"/>
        <w:lang w:val="en-US"/>
      </w:rPr>
    </w:lvl>
  </w:abstractNum>
  <w:abstractNum w:abstractNumId="5" w15:restartNumberingAfterBreak="0">
    <w:nsid w:val="2E2E440E"/>
    <w:multiLevelType w:val="multilevel"/>
    <w:tmpl w:val="0E6EF214"/>
    <w:styleLink w:val="List6"/>
    <w:lvl w:ilvl="0">
      <w:start w:val="1"/>
      <w:numFmt w:val="bullet"/>
      <w:lvlText w:val="•"/>
      <w:lvlJc w:val="left"/>
      <w:pPr>
        <w:tabs>
          <w:tab w:val="num" w:pos="180"/>
        </w:tabs>
        <w:ind w:left="180" w:hanging="180"/>
      </w:pPr>
      <w:rPr>
        <w:rFonts w:ascii="Verdana" w:eastAsia="Verdana" w:hAnsi="Verdana" w:cs="Verdana"/>
        <w:i/>
        <w:iCs/>
        <w:position w:val="0"/>
        <w:sz w:val="24"/>
        <w:szCs w:val="24"/>
        <w:shd w:val="clear" w:color="auto" w:fill="FEFEFE"/>
        <w:lang w:val="en-US"/>
      </w:rPr>
    </w:lvl>
    <w:lvl w:ilvl="1">
      <w:start w:val="1"/>
      <w:numFmt w:val="bullet"/>
      <w:lvlText w:val="•"/>
      <w:lvlJc w:val="left"/>
      <w:pPr>
        <w:tabs>
          <w:tab w:val="num" w:pos="360"/>
        </w:tabs>
        <w:ind w:left="360" w:hanging="196"/>
      </w:pPr>
      <w:rPr>
        <w:rFonts w:ascii="Verdana" w:eastAsia="Verdana" w:hAnsi="Verdana" w:cs="Verdana"/>
        <w:i/>
        <w:iCs/>
        <w:position w:val="0"/>
        <w:sz w:val="24"/>
        <w:szCs w:val="24"/>
        <w:shd w:val="clear" w:color="auto" w:fill="FEFEFE"/>
        <w:lang w:val="en-US"/>
      </w:rPr>
    </w:lvl>
    <w:lvl w:ilvl="2">
      <w:start w:val="1"/>
      <w:numFmt w:val="bullet"/>
      <w:lvlText w:val="•"/>
      <w:lvlJc w:val="left"/>
      <w:pPr>
        <w:tabs>
          <w:tab w:val="num" w:pos="556"/>
        </w:tabs>
        <w:ind w:left="556" w:hanging="196"/>
      </w:pPr>
      <w:rPr>
        <w:rFonts w:ascii="Verdana" w:eastAsia="Verdana" w:hAnsi="Verdana" w:cs="Verdana"/>
        <w:i/>
        <w:iCs/>
        <w:position w:val="0"/>
        <w:sz w:val="22"/>
        <w:szCs w:val="22"/>
        <w:shd w:val="clear" w:color="auto" w:fill="FEFEFE"/>
        <w:lang w:val="en-US"/>
      </w:rPr>
    </w:lvl>
    <w:lvl w:ilvl="3">
      <w:start w:val="1"/>
      <w:numFmt w:val="bullet"/>
      <w:lvlText w:val="•"/>
      <w:lvlJc w:val="left"/>
      <w:pPr>
        <w:tabs>
          <w:tab w:val="num" w:pos="720"/>
        </w:tabs>
        <w:ind w:left="720" w:hanging="196"/>
      </w:pPr>
      <w:rPr>
        <w:rFonts w:ascii="Verdana" w:eastAsia="Verdana" w:hAnsi="Verdana" w:cs="Verdana"/>
        <w:i/>
        <w:iCs/>
        <w:position w:val="0"/>
        <w:sz w:val="24"/>
        <w:szCs w:val="24"/>
        <w:shd w:val="clear" w:color="auto" w:fill="FEFEFE"/>
        <w:lang w:val="en-US"/>
      </w:rPr>
    </w:lvl>
    <w:lvl w:ilvl="4">
      <w:start w:val="1"/>
      <w:numFmt w:val="bullet"/>
      <w:lvlText w:val="•"/>
      <w:lvlJc w:val="left"/>
      <w:pPr>
        <w:tabs>
          <w:tab w:val="num" w:pos="900"/>
        </w:tabs>
        <w:ind w:left="900" w:hanging="196"/>
      </w:pPr>
      <w:rPr>
        <w:rFonts w:ascii="Verdana" w:eastAsia="Verdana" w:hAnsi="Verdana" w:cs="Verdana"/>
        <w:i/>
        <w:iCs/>
        <w:position w:val="0"/>
        <w:sz w:val="24"/>
        <w:szCs w:val="24"/>
        <w:shd w:val="clear" w:color="auto" w:fill="FEFEFE"/>
        <w:lang w:val="en-US"/>
      </w:rPr>
    </w:lvl>
    <w:lvl w:ilvl="5">
      <w:start w:val="1"/>
      <w:numFmt w:val="bullet"/>
      <w:lvlText w:val="•"/>
      <w:lvlJc w:val="left"/>
      <w:pPr>
        <w:tabs>
          <w:tab w:val="num" w:pos="1080"/>
        </w:tabs>
        <w:ind w:left="1080" w:hanging="196"/>
      </w:pPr>
      <w:rPr>
        <w:rFonts w:ascii="Verdana" w:eastAsia="Verdana" w:hAnsi="Verdana" w:cs="Verdana"/>
        <w:i/>
        <w:iCs/>
        <w:position w:val="0"/>
        <w:sz w:val="24"/>
        <w:szCs w:val="24"/>
        <w:shd w:val="clear" w:color="auto" w:fill="FEFEFE"/>
        <w:lang w:val="en-US"/>
      </w:rPr>
    </w:lvl>
    <w:lvl w:ilvl="6">
      <w:start w:val="1"/>
      <w:numFmt w:val="bullet"/>
      <w:lvlText w:val="•"/>
      <w:lvlJc w:val="left"/>
      <w:pPr>
        <w:tabs>
          <w:tab w:val="num" w:pos="1260"/>
        </w:tabs>
        <w:ind w:left="1260" w:hanging="196"/>
      </w:pPr>
      <w:rPr>
        <w:rFonts w:ascii="Verdana" w:eastAsia="Verdana" w:hAnsi="Verdana" w:cs="Verdana"/>
        <w:i/>
        <w:iCs/>
        <w:position w:val="0"/>
        <w:sz w:val="24"/>
        <w:szCs w:val="24"/>
        <w:shd w:val="clear" w:color="auto" w:fill="FEFEFE"/>
        <w:lang w:val="en-US"/>
      </w:rPr>
    </w:lvl>
    <w:lvl w:ilvl="7">
      <w:start w:val="1"/>
      <w:numFmt w:val="bullet"/>
      <w:lvlText w:val="•"/>
      <w:lvlJc w:val="left"/>
      <w:pPr>
        <w:tabs>
          <w:tab w:val="num" w:pos="1440"/>
        </w:tabs>
        <w:ind w:left="1440" w:hanging="196"/>
      </w:pPr>
      <w:rPr>
        <w:rFonts w:ascii="Verdana" w:eastAsia="Verdana" w:hAnsi="Verdana" w:cs="Verdana"/>
        <w:i/>
        <w:iCs/>
        <w:position w:val="0"/>
        <w:sz w:val="24"/>
        <w:szCs w:val="24"/>
        <w:shd w:val="clear" w:color="auto" w:fill="FEFEFE"/>
        <w:lang w:val="en-US"/>
      </w:rPr>
    </w:lvl>
    <w:lvl w:ilvl="8">
      <w:start w:val="1"/>
      <w:numFmt w:val="bullet"/>
      <w:lvlText w:val="•"/>
      <w:lvlJc w:val="left"/>
      <w:pPr>
        <w:tabs>
          <w:tab w:val="num" w:pos="1620"/>
        </w:tabs>
        <w:ind w:left="1620" w:hanging="196"/>
      </w:pPr>
      <w:rPr>
        <w:rFonts w:ascii="Verdana" w:eastAsia="Verdana" w:hAnsi="Verdana" w:cs="Verdana"/>
        <w:i/>
        <w:iCs/>
        <w:position w:val="0"/>
        <w:sz w:val="24"/>
        <w:szCs w:val="24"/>
        <w:shd w:val="clear" w:color="auto" w:fill="FEFEFE"/>
        <w:lang w:val="en-US"/>
      </w:rPr>
    </w:lvl>
  </w:abstractNum>
  <w:abstractNum w:abstractNumId="6"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375EB4"/>
    <w:multiLevelType w:val="multilevel"/>
    <w:tmpl w:val="E7903646"/>
    <w:styleLink w:val="Style6import"/>
    <w:lvl w:ilvl="0">
      <w:numFmt w:val="bullet"/>
      <w:lvlText w:val="•"/>
      <w:lvlJc w:val="left"/>
      <w:pPr>
        <w:tabs>
          <w:tab w:val="num" w:pos="360"/>
        </w:tabs>
        <w:ind w:left="360" w:hanging="360"/>
      </w:pPr>
      <w:rPr>
        <w:rFonts w:ascii="Verdana" w:eastAsia="Verdana" w:hAnsi="Verdana" w:cs="Verdana"/>
        <w:position w:val="0"/>
        <w:sz w:val="22"/>
        <w:szCs w:val="22"/>
        <w:lang w:val="en-US"/>
      </w:rPr>
    </w:lvl>
    <w:lvl w:ilvl="1">
      <w:start w:val="1"/>
      <w:numFmt w:val="bullet"/>
      <w:lvlText w:val="o"/>
      <w:lvlJc w:val="left"/>
      <w:pPr>
        <w:tabs>
          <w:tab w:val="num" w:pos="1080"/>
        </w:tabs>
        <w:ind w:left="1080" w:hanging="360"/>
      </w:pPr>
      <w:rPr>
        <w:rFonts w:ascii="Verdana" w:eastAsia="Verdana" w:hAnsi="Verdana" w:cs="Verdana"/>
        <w:position w:val="0"/>
        <w:sz w:val="24"/>
        <w:szCs w:val="24"/>
        <w:lang w:val="en-US"/>
      </w:rPr>
    </w:lvl>
    <w:lvl w:ilvl="2">
      <w:start w:val="1"/>
      <w:numFmt w:val="bullet"/>
      <w:lvlText w:val="▪"/>
      <w:lvlJc w:val="left"/>
      <w:pPr>
        <w:tabs>
          <w:tab w:val="num" w:pos="1800"/>
        </w:tabs>
        <w:ind w:left="1800" w:hanging="360"/>
      </w:pPr>
      <w:rPr>
        <w:rFonts w:ascii="Verdana" w:eastAsia="Verdana" w:hAnsi="Verdana" w:cs="Verdana"/>
        <w:position w:val="0"/>
        <w:sz w:val="24"/>
        <w:szCs w:val="24"/>
        <w:lang w:val="en-US"/>
      </w:rPr>
    </w:lvl>
    <w:lvl w:ilvl="3">
      <w:start w:val="1"/>
      <w:numFmt w:val="bullet"/>
      <w:lvlText w:val="•"/>
      <w:lvlJc w:val="left"/>
      <w:pPr>
        <w:tabs>
          <w:tab w:val="num" w:pos="2520"/>
        </w:tabs>
        <w:ind w:left="2520" w:hanging="360"/>
      </w:pPr>
      <w:rPr>
        <w:rFonts w:ascii="Verdana" w:eastAsia="Verdana" w:hAnsi="Verdana" w:cs="Verdana"/>
        <w:position w:val="0"/>
        <w:sz w:val="24"/>
        <w:szCs w:val="24"/>
        <w:lang w:val="en-US"/>
      </w:rPr>
    </w:lvl>
    <w:lvl w:ilvl="4">
      <w:start w:val="1"/>
      <w:numFmt w:val="bullet"/>
      <w:lvlText w:val="o"/>
      <w:lvlJc w:val="left"/>
      <w:pPr>
        <w:tabs>
          <w:tab w:val="num" w:pos="3240"/>
        </w:tabs>
        <w:ind w:left="3240" w:hanging="360"/>
      </w:pPr>
      <w:rPr>
        <w:rFonts w:ascii="Verdana" w:eastAsia="Verdana" w:hAnsi="Verdana" w:cs="Verdana"/>
        <w:position w:val="0"/>
        <w:sz w:val="24"/>
        <w:szCs w:val="24"/>
        <w:lang w:val="en-US"/>
      </w:rPr>
    </w:lvl>
    <w:lvl w:ilvl="5">
      <w:start w:val="1"/>
      <w:numFmt w:val="bullet"/>
      <w:lvlText w:val="▪"/>
      <w:lvlJc w:val="left"/>
      <w:pPr>
        <w:tabs>
          <w:tab w:val="num" w:pos="3960"/>
        </w:tabs>
        <w:ind w:left="3960" w:hanging="360"/>
      </w:pPr>
      <w:rPr>
        <w:rFonts w:ascii="Verdana" w:eastAsia="Verdana" w:hAnsi="Verdana" w:cs="Verdana"/>
        <w:position w:val="0"/>
        <w:sz w:val="24"/>
        <w:szCs w:val="24"/>
        <w:lang w:val="en-US"/>
      </w:rPr>
    </w:lvl>
    <w:lvl w:ilvl="6">
      <w:start w:val="1"/>
      <w:numFmt w:val="bullet"/>
      <w:lvlText w:val="•"/>
      <w:lvlJc w:val="left"/>
      <w:pPr>
        <w:tabs>
          <w:tab w:val="num" w:pos="4680"/>
        </w:tabs>
        <w:ind w:left="4680" w:hanging="360"/>
      </w:pPr>
      <w:rPr>
        <w:rFonts w:ascii="Verdana" w:eastAsia="Verdana" w:hAnsi="Verdana" w:cs="Verdana"/>
        <w:position w:val="0"/>
        <w:sz w:val="24"/>
        <w:szCs w:val="24"/>
        <w:lang w:val="en-US"/>
      </w:rPr>
    </w:lvl>
    <w:lvl w:ilvl="7">
      <w:start w:val="1"/>
      <w:numFmt w:val="bullet"/>
      <w:lvlText w:val="o"/>
      <w:lvlJc w:val="left"/>
      <w:pPr>
        <w:tabs>
          <w:tab w:val="num" w:pos="5400"/>
        </w:tabs>
        <w:ind w:left="5400" w:hanging="360"/>
      </w:pPr>
      <w:rPr>
        <w:rFonts w:ascii="Verdana" w:eastAsia="Verdana" w:hAnsi="Verdana" w:cs="Verdana"/>
        <w:position w:val="0"/>
        <w:sz w:val="24"/>
        <w:szCs w:val="24"/>
        <w:lang w:val="en-US"/>
      </w:rPr>
    </w:lvl>
    <w:lvl w:ilvl="8">
      <w:start w:val="1"/>
      <w:numFmt w:val="bullet"/>
      <w:lvlText w:val="▪"/>
      <w:lvlJc w:val="left"/>
      <w:pPr>
        <w:tabs>
          <w:tab w:val="num" w:pos="6120"/>
        </w:tabs>
        <w:ind w:left="6120" w:hanging="360"/>
      </w:pPr>
      <w:rPr>
        <w:rFonts w:ascii="Verdana" w:eastAsia="Verdana" w:hAnsi="Verdana" w:cs="Verdana"/>
        <w:position w:val="0"/>
        <w:sz w:val="24"/>
        <w:szCs w:val="24"/>
        <w:lang w:val="en-US"/>
      </w:rPr>
    </w:lvl>
  </w:abstractNum>
  <w:abstractNum w:abstractNumId="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865DB5"/>
    <w:multiLevelType w:val="multilevel"/>
    <w:tmpl w:val="82B6011C"/>
    <w:styleLink w:val="List51"/>
    <w:lvl w:ilvl="0">
      <w:start w:val="1"/>
      <w:numFmt w:val="decimal"/>
      <w:lvlText w:val="%1."/>
      <w:lvlJc w:val="left"/>
      <w:pPr>
        <w:tabs>
          <w:tab w:val="num" w:pos="887"/>
        </w:tabs>
        <w:ind w:left="887" w:hanging="197"/>
      </w:pPr>
      <w:rPr>
        <w:rFonts w:ascii="Verdana" w:eastAsia="Verdana" w:hAnsi="Verdana" w:cs="Verdana"/>
        <w:b/>
        <w:bCs/>
        <w:position w:val="0"/>
        <w:sz w:val="24"/>
        <w:szCs w:val="24"/>
        <w:lang w:val="en-US"/>
      </w:rPr>
    </w:lvl>
    <w:lvl w:ilvl="1">
      <w:start w:val="1"/>
      <w:numFmt w:val="lowerLetter"/>
      <w:lvlText w:val="%2."/>
      <w:lvlJc w:val="left"/>
      <w:pPr>
        <w:tabs>
          <w:tab w:val="num" w:pos="1440"/>
        </w:tabs>
        <w:ind w:left="1440" w:hanging="360"/>
      </w:pPr>
      <w:rPr>
        <w:rFonts w:ascii="Verdana" w:eastAsia="Verdana" w:hAnsi="Verdana" w:cs="Verdana"/>
        <w:b/>
        <w:bCs/>
        <w:position w:val="0"/>
        <w:sz w:val="24"/>
        <w:szCs w:val="24"/>
        <w:lang w:val="en-US"/>
      </w:rPr>
    </w:lvl>
    <w:lvl w:ilvl="2">
      <w:start w:val="1"/>
      <w:numFmt w:val="lowerRoman"/>
      <w:lvlText w:val="%3."/>
      <w:lvlJc w:val="left"/>
      <w:pPr>
        <w:tabs>
          <w:tab w:val="num" w:pos="2160"/>
        </w:tabs>
        <w:ind w:left="2160" w:hanging="296"/>
      </w:pPr>
      <w:rPr>
        <w:rFonts w:ascii="Verdana" w:eastAsia="Verdana" w:hAnsi="Verdana" w:cs="Verdana"/>
        <w:b/>
        <w:bCs/>
        <w:position w:val="0"/>
        <w:sz w:val="24"/>
        <w:szCs w:val="24"/>
        <w:lang w:val="en-US"/>
      </w:rPr>
    </w:lvl>
    <w:lvl w:ilvl="3">
      <w:start w:val="1"/>
      <w:numFmt w:val="decimal"/>
      <w:lvlText w:val="%4."/>
      <w:lvlJc w:val="left"/>
      <w:pPr>
        <w:tabs>
          <w:tab w:val="num" w:pos="2880"/>
        </w:tabs>
        <w:ind w:left="2880" w:hanging="360"/>
      </w:pPr>
      <w:rPr>
        <w:rFonts w:ascii="Verdana" w:eastAsia="Verdana" w:hAnsi="Verdana" w:cs="Verdana"/>
        <w:b/>
        <w:bCs/>
        <w:position w:val="0"/>
        <w:sz w:val="24"/>
        <w:szCs w:val="24"/>
        <w:lang w:val="en-US"/>
      </w:rPr>
    </w:lvl>
    <w:lvl w:ilvl="4">
      <w:start w:val="1"/>
      <w:numFmt w:val="lowerLetter"/>
      <w:lvlText w:val="%5."/>
      <w:lvlJc w:val="left"/>
      <w:pPr>
        <w:tabs>
          <w:tab w:val="num" w:pos="3600"/>
        </w:tabs>
        <w:ind w:left="3600" w:hanging="360"/>
      </w:pPr>
      <w:rPr>
        <w:rFonts w:ascii="Verdana" w:eastAsia="Verdana" w:hAnsi="Verdana" w:cs="Verdana"/>
        <w:b/>
        <w:bCs/>
        <w:position w:val="0"/>
        <w:sz w:val="24"/>
        <w:szCs w:val="24"/>
        <w:lang w:val="en-US"/>
      </w:rPr>
    </w:lvl>
    <w:lvl w:ilvl="5">
      <w:start w:val="1"/>
      <w:numFmt w:val="lowerRoman"/>
      <w:lvlText w:val="%6."/>
      <w:lvlJc w:val="left"/>
      <w:pPr>
        <w:tabs>
          <w:tab w:val="num" w:pos="4320"/>
        </w:tabs>
        <w:ind w:left="4320" w:hanging="296"/>
      </w:pPr>
      <w:rPr>
        <w:rFonts w:ascii="Verdana" w:eastAsia="Verdana" w:hAnsi="Verdana" w:cs="Verdana"/>
        <w:b/>
        <w:bCs/>
        <w:position w:val="0"/>
        <w:sz w:val="24"/>
        <w:szCs w:val="24"/>
        <w:lang w:val="en-US"/>
      </w:rPr>
    </w:lvl>
    <w:lvl w:ilvl="6">
      <w:start w:val="1"/>
      <w:numFmt w:val="decimal"/>
      <w:lvlText w:val="%7."/>
      <w:lvlJc w:val="left"/>
      <w:pPr>
        <w:tabs>
          <w:tab w:val="num" w:pos="5040"/>
        </w:tabs>
        <w:ind w:left="5040" w:hanging="360"/>
      </w:pPr>
      <w:rPr>
        <w:rFonts w:ascii="Verdana" w:eastAsia="Verdana" w:hAnsi="Verdana" w:cs="Verdana"/>
        <w:b/>
        <w:bCs/>
        <w:position w:val="0"/>
        <w:sz w:val="24"/>
        <w:szCs w:val="24"/>
        <w:lang w:val="en-US"/>
      </w:rPr>
    </w:lvl>
    <w:lvl w:ilvl="7">
      <w:start w:val="1"/>
      <w:numFmt w:val="lowerLetter"/>
      <w:lvlText w:val="%8."/>
      <w:lvlJc w:val="left"/>
      <w:pPr>
        <w:tabs>
          <w:tab w:val="num" w:pos="5760"/>
        </w:tabs>
        <w:ind w:left="5760" w:hanging="360"/>
      </w:pPr>
      <w:rPr>
        <w:rFonts w:ascii="Verdana" w:eastAsia="Verdana" w:hAnsi="Verdana" w:cs="Verdana"/>
        <w:b/>
        <w:bCs/>
        <w:position w:val="0"/>
        <w:sz w:val="24"/>
        <w:szCs w:val="24"/>
        <w:lang w:val="en-US"/>
      </w:rPr>
    </w:lvl>
    <w:lvl w:ilvl="8">
      <w:start w:val="1"/>
      <w:numFmt w:val="lowerRoman"/>
      <w:lvlText w:val="%9."/>
      <w:lvlJc w:val="left"/>
      <w:pPr>
        <w:tabs>
          <w:tab w:val="num" w:pos="6480"/>
        </w:tabs>
        <w:ind w:left="6480" w:hanging="296"/>
      </w:pPr>
      <w:rPr>
        <w:rFonts w:ascii="Verdana" w:eastAsia="Verdana" w:hAnsi="Verdana" w:cs="Verdana"/>
        <w:b/>
        <w:bCs/>
        <w:position w:val="0"/>
        <w:sz w:val="24"/>
        <w:szCs w:val="24"/>
        <w:lang w:val="en-US"/>
      </w:rPr>
    </w:lvl>
  </w:abstractNum>
  <w:abstractNum w:abstractNumId="10" w15:restartNumberingAfterBreak="0">
    <w:nsid w:val="7A9161E1"/>
    <w:multiLevelType w:val="hybridMultilevel"/>
    <w:tmpl w:val="64D6062E"/>
    <w:lvl w:ilvl="0" w:tplc="7158E0AC">
      <w:start w:val="1"/>
      <w:numFmt w:val="decimal"/>
      <w:lvlText w:val="%1."/>
      <w:lvlJc w:val="left"/>
      <w:pPr>
        <w:ind w:left="1495" w:hanging="360"/>
      </w:pPr>
      <w:rPr>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 w15:restartNumberingAfterBreak="0">
    <w:nsid w:val="7EA303EF"/>
    <w:multiLevelType w:val="multilevel"/>
    <w:tmpl w:val="215C0964"/>
    <w:styleLink w:val="List0"/>
    <w:lvl w:ilvl="0">
      <w:start w:val="1"/>
      <w:numFmt w:val="upperRoman"/>
      <w:lvlText w:val="%1."/>
      <w:lvlJc w:val="left"/>
      <w:pPr>
        <w:tabs>
          <w:tab w:val="num" w:pos="805"/>
        </w:tabs>
        <w:ind w:left="805" w:hanging="445"/>
      </w:pPr>
      <w:rPr>
        <w:rFonts w:ascii="Verdana" w:eastAsia="Verdana" w:hAnsi="Verdana" w:cs="Verdana"/>
        <w:b/>
        <w:bCs/>
        <w:position w:val="0"/>
        <w:sz w:val="28"/>
        <w:szCs w:val="28"/>
        <w:lang w:val="en-US"/>
      </w:rPr>
    </w:lvl>
    <w:lvl w:ilvl="1">
      <w:start w:val="1"/>
      <w:numFmt w:val="lowerLetter"/>
      <w:lvlText w:val="%2."/>
      <w:lvlJc w:val="left"/>
      <w:pPr>
        <w:tabs>
          <w:tab w:val="num" w:pos="1642"/>
        </w:tabs>
        <w:ind w:left="1642" w:hanging="572"/>
      </w:pPr>
      <w:rPr>
        <w:rFonts w:ascii="Verdana" w:eastAsia="Verdana" w:hAnsi="Verdana" w:cs="Verdana"/>
        <w:b/>
        <w:bCs/>
        <w:position w:val="0"/>
        <w:sz w:val="28"/>
        <w:szCs w:val="28"/>
        <w:lang w:val="en-US"/>
      </w:rPr>
    </w:lvl>
    <w:lvl w:ilvl="2">
      <w:start w:val="1"/>
      <w:numFmt w:val="lowerRoman"/>
      <w:lvlText w:val="%3."/>
      <w:lvlJc w:val="left"/>
      <w:pPr>
        <w:tabs>
          <w:tab w:val="num" w:pos="2307"/>
        </w:tabs>
        <w:ind w:left="2307" w:hanging="470"/>
      </w:pPr>
      <w:rPr>
        <w:rFonts w:ascii="Verdana" w:eastAsia="Verdana" w:hAnsi="Verdana" w:cs="Verdana"/>
        <w:b/>
        <w:bCs/>
        <w:position w:val="0"/>
        <w:sz w:val="28"/>
        <w:szCs w:val="28"/>
        <w:lang w:val="en-US"/>
      </w:rPr>
    </w:lvl>
    <w:lvl w:ilvl="3">
      <w:start w:val="1"/>
      <w:numFmt w:val="decimal"/>
      <w:lvlText w:val="%4."/>
      <w:lvlJc w:val="left"/>
      <w:pPr>
        <w:tabs>
          <w:tab w:val="num" w:pos="3082"/>
        </w:tabs>
        <w:ind w:left="3082" w:hanging="572"/>
      </w:pPr>
      <w:rPr>
        <w:rFonts w:ascii="Verdana" w:eastAsia="Verdana" w:hAnsi="Verdana" w:cs="Verdana"/>
        <w:b/>
        <w:bCs/>
        <w:position w:val="0"/>
        <w:sz w:val="28"/>
        <w:szCs w:val="28"/>
        <w:lang w:val="en-US"/>
      </w:rPr>
    </w:lvl>
    <w:lvl w:ilvl="4">
      <w:start w:val="1"/>
      <w:numFmt w:val="lowerLetter"/>
      <w:lvlText w:val="%5."/>
      <w:lvlJc w:val="left"/>
      <w:pPr>
        <w:tabs>
          <w:tab w:val="num" w:pos="3802"/>
        </w:tabs>
        <w:ind w:left="3802" w:hanging="572"/>
      </w:pPr>
      <w:rPr>
        <w:rFonts w:ascii="Verdana" w:eastAsia="Verdana" w:hAnsi="Verdana" w:cs="Verdana"/>
        <w:b/>
        <w:bCs/>
        <w:position w:val="0"/>
        <w:sz w:val="28"/>
        <w:szCs w:val="28"/>
        <w:lang w:val="en-US"/>
      </w:rPr>
    </w:lvl>
    <w:lvl w:ilvl="5">
      <w:start w:val="1"/>
      <w:numFmt w:val="lowerRoman"/>
      <w:lvlText w:val="%6."/>
      <w:lvlJc w:val="left"/>
      <w:pPr>
        <w:tabs>
          <w:tab w:val="num" w:pos="4467"/>
        </w:tabs>
        <w:ind w:left="4467" w:hanging="470"/>
      </w:pPr>
      <w:rPr>
        <w:rFonts w:ascii="Verdana" w:eastAsia="Verdana" w:hAnsi="Verdana" w:cs="Verdana"/>
        <w:b/>
        <w:bCs/>
        <w:position w:val="0"/>
        <w:sz w:val="28"/>
        <w:szCs w:val="28"/>
        <w:lang w:val="en-US"/>
      </w:rPr>
    </w:lvl>
    <w:lvl w:ilvl="6">
      <w:start w:val="1"/>
      <w:numFmt w:val="decimal"/>
      <w:lvlText w:val="%7."/>
      <w:lvlJc w:val="left"/>
      <w:pPr>
        <w:tabs>
          <w:tab w:val="num" w:pos="5242"/>
        </w:tabs>
        <w:ind w:left="5242" w:hanging="572"/>
      </w:pPr>
      <w:rPr>
        <w:rFonts w:ascii="Verdana" w:eastAsia="Verdana" w:hAnsi="Verdana" w:cs="Verdana"/>
        <w:b/>
        <w:bCs/>
        <w:position w:val="0"/>
        <w:sz w:val="28"/>
        <w:szCs w:val="28"/>
        <w:lang w:val="en-US"/>
      </w:rPr>
    </w:lvl>
    <w:lvl w:ilvl="7">
      <w:start w:val="1"/>
      <w:numFmt w:val="lowerLetter"/>
      <w:lvlText w:val="%8."/>
      <w:lvlJc w:val="left"/>
      <w:pPr>
        <w:tabs>
          <w:tab w:val="num" w:pos="5962"/>
        </w:tabs>
        <w:ind w:left="5962" w:hanging="572"/>
      </w:pPr>
      <w:rPr>
        <w:rFonts w:ascii="Verdana" w:eastAsia="Verdana" w:hAnsi="Verdana" w:cs="Verdana"/>
        <w:b/>
        <w:bCs/>
        <w:position w:val="0"/>
        <w:sz w:val="28"/>
        <w:szCs w:val="28"/>
        <w:lang w:val="en-US"/>
      </w:rPr>
    </w:lvl>
    <w:lvl w:ilvl="8">
      <w:start w:val="1"/>
      <w:numFmt w:val="lowerRoman"/>
      <w:lvlText w:val="%9."/>
      <w:lvlJc w:val="left"/>
      <w:pPr>
        <w:tabs>
          <w:tab w:val="num" w:pos="6627"/>
        </w:tabs>
        <w:ind w:left="6627" w:hanging="470"/>
      </w:pPr>
      <w:rPr>
        <w:rFonts w:ascii="Verdana" w:eastAsia="Verdana" w:hAnsi="Verdana" w:cs="Verdana"/>
        <w:b/>
        <w:bCs/>
        <w:position w:val="0"/>
        <w:sz w:val="28"/>
        <w:szCs w:val="28"/>
        <w:lang w:val="en-US"/>
      </w:rPr>
    </w:lvl>
  </w:abstractNum>
  <w:num w:numId="1">
    <w:abstractNumId w:val="6"/>
  </w:num>
  <w:num w:numId="2">
    <w:abstractNumId w:val="8"/>
  </w:num>
  <w:num w:numId="3">
    <w:abstractNumId w:val="11"/>
  </w:num>
  <w:num w:numId="4">
    <w:abstractNumId w:val="4"/>
  </w:num>
  <w:num w:numId="5">
    <w:abstractNumId w:val="2"/>
  </w:num>
  <w:num w:numId="6">
    <w:abstractNumId w:val="1"/>
  </w:num>
  <w:num w:numId="7">
    <w:abstractNumId w:val="3"/>
  </w:num>
  <w:num w:numId="8">
    <w:abstractNumId w:val="7"/>
  </w:num>
  <w:num w:numId="9">
    <w:abstractNumId w:val="9"/>
  </w:num>
  <w:num w:numId="10">
    <w:abstractNumId w:val="5"/>
  </w:num>
  <w:num w:numId="11">
    <w:abstractNumId w:val="0"/>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CH" w:vendorID="64" w:dllVersion="131078" w:nlCheck="1" w:checkStyle="1"/>
  <w:activeWritingStyle w:appName="MSWord" w:lang="fr-FR" w:vendorID="64" w:dllVersion="131078" w:nlCheck="1" w:checkStyle="1"/>
  <w:activeWritingStyle w:appName="MSWord" w:lang="en-ZA" w:vendorID="64" w:dllVersion="131078" w:nlCheck="1" w:checkStyle="1"/>
  <w:activeWritingStyle w:appName="MSWord" w:lang="es-MX" w:vendorID="64" w:dllVersion="131078" w:nlCheck="1" w:checkStyle="1"/>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4E2"/>
    <w:rsid w:val="00002A7D"/>
    <w:rsid w:val="000038A8"/>
    <w:rsid w:val="00006790"/>
    <w:rsid w:val="00027624"/>
    <w:rsid w:val="00050F6B"/>
    <w:rsid w:val="000678CD"/>
    <w:rsid w:val="00072C8C"/>
    <w:rsid w:val="00081CE0"/>
    <w:rsid w:val="00084D30"/>
    <w:rsid w:val="00090320"/>
    <w:rsid w:val="000931C0"/>
    <w:rsid w:val="000A2E09"/>
    <w:rsid w:val="000B175B"/>
    <w:rsid w:val="000B3A0F"/>
    <w:rsid w:val="000E0415"/>
    <w:rsid w:val="000F7715"/>
    <w:rsid w:val="00156B99"/>
    <w:rsid w:val="00166124"/>
    <w:rsid w:val="00184DDA"/>
    <w:rsid w:val="001900CD"/>
    <w:rsid w:val="001A0452"/>
    <w:rsid w:val="001B4B04"/>
    <w:rsid w:val="001B5875"/>
    <w:rsid w:val="001C4B9C"/>
    <w:rsid w:val="001C6663"/>
    <w:rsid w:val="001C7895"/>
    <w:rsid w:val="001D26DF"/>
    <w:rsid w:val="001D4148"/>
    <w:rsid w:val="001F1599"/>
    <w:rsid w:val="001F19C4"/>
    <w:rsid w:val="002043F0"/>
    <w:rsid w:val="00211E0B"/>
    <w:rsid w:val="00232575"/>
    <w:rsid w:val="00247258"/>
    <w:rsid w:val="00257CAC"/>
    <w:rsid w:val="0027237A"/>
    <w:rsid w:val="002974E9"/>
    <w:rsid w:val="002A562B"/>
    <w:rsid w:val="002A7F94"/>
    <w:rsid w:val="002B109A"/>
    <w:rsid w:val="002C6D45"/>
    <w:rsid w:val="002C75D7"/>
    <w:rsid w:val="002D6E53"/>
    <w:rsid w:val="002F046D"/>
    <w:rsid w:val="00301764"/>
    <w:rsid w:val="003229D8"/>
    <w:rsid w:val="00336C97"/>
    <w:rsid w:val="00337F88"/>
    <w:rsid w:val="00342432"/>
    <w:rsid w:val="0035223F"/>
    <w:rsid w:val="00352D4B"/>
    <w:rsid w:val="0035638C"/>
    <w:rsid w:val="003A46BB"/>
    <w:rsid w:val="003A4EC7"/>
    <w:rsid w:val="003A7295"/>
    <w:rsid w:val="003B1F60"/>
    <w:rsid w:val="003C2CC4"/>
    <w:rsid w:val="003D3E35"/>
    <w:rsid w:val="003D4B23"/>
    <w:rsid w:val="003E278A"/>
    <w:rsid w:val="00413520"/>
    <w:rsid w:val="004325CB"/>
    <w:rsid w:val="00440A07"/>
    <w:rsid w:val="00462880"/>
    <w:rsid w:val="00476F24"/>
    <w:rsid w:val="004A3C0B"/>
    <w:rsid w:val="004C55B0"/>
    <w:rsid w:val="004F6BA0"/>
    <w:rsid w:val="00503BEA"/>
    <w:rsid w:val="00533616"/>
    <w:rsid w:val="00535ABA"/>
    <w:rsid w:val="0053768B"/>
    <w:rsid w:val="005420F2"/>
    <w:rsid w:val="0054285C"/>
    <w:rsid w:val="00584173"/>
    <w:rsid w:val="00595520"/>
    <w:rsid w:val="005A44B9"/>
    <w:rsid w:val="005B1BA0"/>
    <w:rsid w:val="005B3DB3"/>
    <w:rsid w:val="005D15CA"/>
    <w:rsid w:val="005F08DF"/>
    <w:rsid w:val="005F3066"/>
    <w:rsid w:val="005F3E61"/>
    <w:rsid w:val="00604DDD"/>
    <w:rsid w:val="006115CC"/>
    <w:rsid w:val="00611FC4"/>
    <w:rsid w:val="006176FB"/>
    <w:rsid w:val="00630FCB"/>
    <w:rsid w:val="00640B26"/>
    <w:rsid w:val="00645FA2"/>
    <w:rsid w:val="0065766B"/>
    <w:rsid w:val="006770B2"/>
    <w:rsid w:val="006854E2"/>
    <w:rsid w:val="00686A48"/>
    <w:rsid w:val="006940E1"/>
    <w:rsid w:val="006A3C72"/>
    <w:rsid w:val="006A7392"/>
    <w:rsid w:val="006B03A1"/>
    <w:rsid w:val="006B67D9"/>
    <w:rsid w:val="006C5535"/>
    <w:rsid w:val="006D0589"/>
    <w:rsid w:val="006E564B"/>
    <w:rsid w:val="006E7154"/>
    <w:rsid w:val="007003CD"/>
    <w:rsid w:val="0070701E"/>
    <w:rsid w:val="0072632A"/>
    <w:rsid w:val="007358E8"/>
    <w:rsid w:val="00736ECE"/>
    <w:rsid w:val="0074533B"/>
    <w:rsid w:val="007643BC"/>
    <w:rsid w:val="00780C68"/>
    <w:rsid w:val="007959FE"/>
    <w:rsid w:val="007A0CF1"/>
    <w:rsid w:val="007A3EF7"/>
    <w:rsid w:val="007B6BA5"/>
    <w:rsid w:val="007C3390"/>
    <w:rsid w:val="007C42D8"/>
    <w:rsid w:val="007C4F4B"/>
    <w:rsid w:val="007D7362"/>
    <w:rsid w:val="007F5CE2"/>
    <w:rsid w:val="007F6611"/>
    <w:rsid w:val="00810BAC"/>
    <w:rsid w:val="008175E9"/>
    <w:rsid w:val="008242D7"/>
    <w:rsid w:val="0082577B"/>
    <w:rsid w:val="00866893"/>
    <w:rsid w:val="00866F02"/>
    <w:rsid w:val="00867D18"/>
    <w:rsid w:val="00871F9A"/>
    <w:rsid w:val="00871FD5"/>
    <w:rsid w:val="0088172E"/>
    <w:rsid w:val="00881EFA"/>
    <w:rsid w:val="008879CB"/>
    <w:rsid w:val="008979B1"/>
    <w:rsid w:val="008A6B25"/>
    <w:rsid w:val="008A6C4F"/>
    <w:rsid w:val="008B389E"/>
    <w:rsid w:val="008D045E"/>
    <w:rsid w:val="008D3F25"/>
    <w:rsid w:val="008D4D82"/>
    <w:rsid w:val="008E0E46"/>
    <w:rsid w:val="008E7116"/>
    <w:rsid w:val="008F143B"/>
    <w:rsid w:val="008F3301"/>
    <w:rsid w:val="008F3882"/>
    <w:rsid w:val="008F4B7C"/>
    <w:rsid w:val="00926E47"/>
    <w:rsid w:val="00947162"/>
    <w:rsid w:val="009610D0"/>
    <w:rsid w:val="0096375C"/>
    <w:rsid w:val="009662E6"/>
    <w:rsid w:val="0097095E"/>
    <w:rsid w:val="0098592B"/>
    <w:rsid w:val="00985FC4"/>
    <w:rsid w:val="00990766"/>
    <w:rsid w:val="00991261"/>
    <w:rsid w:val="009964C4"/>
    <w:rsid w:val="009A7B81"/>
    <w:rsid w:val="009D01C0"/>
    <w:rsid w:val="009D6A08"/>
    <w:rsid w:val="009E0A16"/>
    <w:rsid w:val="009E6CB7"/>
    <w:rsid w:val="009E7970"/>
    <w:rsid w:val="009F2EAC"/>
    <w:rsid w:val="009F57E3"/>
    <w:rsid w:val="00A10F4F"/>
    <w:rsid w:val="00A11067"/>
    <w:rsid w:val="00A1704A"/>
    <w:rsid w:val="00A17D71"/>
    <w:rsid w:val="00A425EB"/>
    <w:rsid w:val="00A72F22"/>
    <w:rsid w:val="00A733BC"/>
    <w:rsid w:val="00A748A6"/>
    <w:rsid w:val="00A76A69"/>
    <w:rsid w:val="00A879A4"/>
    <w:rsid w:val="00AA0FF8"/>
    <w:rsid w:val="00AC0F2C"/>
    <w:rsid w:val="00AC502A"/>
    <w:rsid w:val="00AF58C1"/>
    <w:rsid w:val="00B04A3F"/>
    <w:rsid w:val="00B06643"/>
    <w:rsid w:val="00B15055"/>
    <w:rsid w:val="00B30179"/>
    <w:rsid w:val="00B37B15"/>
    <w:rsid w:val="00B45C02"/>
    <w:rsid w:val="00B70B63"/>
    <w:rsid w:val="00B72A1E"/>
    <w:rsid w:val="00B81E12"/>
    <w:rsid w:val="00BA339B"/>
    <w:rsid w:val="00BA7C63"/>
    <w:rsid w:val="00BC1E7E"/>
    <w:rsid w:val="00BC74E9"/>
    <w:rsid w:val="00BE36A9"/>
    <w:rsid w:val="00BE618E"/>
    <w:rsid w:val="00BE7BEC"/>
    <w:rsid w:val="00BF0A5A"/>
    <w:rsid w:val="00BF0E63"/>
    <w:rsid w:val="00BF12A3"/>
    <w:rsid w:val="00BF16D7"/>
    <w:rsid w:val="00BF2373"/>
    <w:rsid w:val="00C044E2"/>
    <w:rsid w:val="00C048CB"/>
    <w:rsid w:val="00C066F3"/>
    <w:rsid w:val="00C463DD"/>
    <w:rsid w:val="00C745C3"/>
    <w:rsid w:val="00C978F5"/>
    <w:rsid w:val="00CA24A4"/>
    <w:rsid w:val="00CB348D"/>
    <w:rsid w:val="00CD46F5"/>
    <w:rsid w:val="00CE4A8F"/>
    <w:rsid w:val="00CF071D"/>
    <w:rsid w:val="00D0123D"/>
    <w:rsid w:val="00D15B04"/>
    <w:rsid w:val="00D2031B"/>
    <w:rsid w:val="00D25FE2"/>
    <w:rsid w:val="00D37DA9"/>
    <w:rsid w:val="00D406A7"/>
    <w:rsid w:val="00D43252"/>
    <w:rsid w:val="00D44D86"/>
    <w:rsid w:val="00D50B7D"/>
    <w:rsid w:val="00D52012"/>
    <w:rsid w:val="00D704E5"/>
    <w:rsid w:val="00D72727"/>
    <w:rsid w:val="00D86C65"/>
    <w:rsid w:val="00D978C6"/>
    <w:rsid w:val="00DA0956"/>
    <w:rsid w:val="00DA357F"/>
    <w:rsid w:val="00DA3E12"/>
    <w:rsid w:val="00DC18AD"/>
    <w:rsid w:val="00DF7CAE"/>
    <w:rsid w:val="00E05F6E"/>
    <w:rsid w:val="00E423C0"/>
    <w:rsid w:val="00E6414C"/>
    <w:rsid w:val="00E7260F"/>
    <w:rsid w:val="00E8702D"/>
    <w:rsid w:val="00E905F4"/>
    <w:rsid w:val="00E916A9"/>
    <w:rsid w:val="00E916DE"/>
    <w:rsid w:val="00E925AD"/>
    <w:rsid w:val="00E96630"/>
    <w:rsid w:val="00ED18DC"/>
    <w:rsid w:val="00ED6201"/>
    <w:rsid w:val="00ED7A2A"/>
    <w:rsid w:val="00EF1D7F"/>
    <w:rsid w:val="00F0137E"/>
    <w:rsid w:val="00F21786"/>
    <w:rsid w:val="00F3742B"/>
    <w:rsid w:val="00F41FDB"/>
    <w:rsid w:val="00F56D63"/>
    <w:rsid w:val="00F609A9"/>
    <w:rsid w:val="00F72B02"/>
    <w:rsid w:val="00F80C99"/>
    <w:rsid w:val="00F867EC"/>
    <w:rsid w:val="00F91B2B"/>
    <w:rsid w:val="00FC03CD"/>
    <w:rsid w:val="00FC0646"/>
    <w:rsid w:val="00FC68B7"/>
    <w:rsid w:val="00FE69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C70F46B5-6A26-4FF8-97C4-7650394F9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C68"/>
    <w:pPr>
      <w:suppressAutoHyphens/>
      <w:spacing w:line="240" w:lineRule="atLeast"/>
    </w:pPr>
    <w:rPr>
      <w:lang w:val="en-GB" w:eastAsia="en-US"/>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link w:val="Heading2Char"/>
    <w:uiPriority w:val="9"/>
    <w:qFormat/>
    <w:rsid w:val="00E925AD"/>
    <w:pPr>
      <w:spacing w:line="240" w:lineRule="auto"/>
      <w:outlineLvl w:val="1"/>
    </w:pPr>
  </w:style>
  <w:style w:type="paragraph" w:styleId="Heading3">
    <w:name w:val="heading 3"/>
    <w:basedOn w:val="Normal"/>
    <w:next w:val="Normal"/>
    <w:qFormat/>
    <w:rsid w:val="00E925AD"/>
    <w:pPr>
      <w:spacing w:line="240" w:lineRule="auto"/>
      <w:outlineLvl w:val="2"/>
    </w:pPr>
  </w:style>
  <w:style w:type="paragraph" w:styleId="Heading4">
    <w:name w:val="heading 4"/>
    <w:basedOn w:val="Normal"/>
    <w:next w:val="Normal"/>
    <w:qFormat/>
    <w:rsid w:val="00E925AD"/>
    <w:pPr>
      <w:spacing w:line="240" w:lineRule="auto"/>
      <w:outlineLvl w:val="3"/>
    </w:pPr>
  </w:style>
  <w:style w:type="paragraph" w:styleId="Heading5">
    <w:name w:val="heading 5"/>
    <w:basedOn w:val="Normal"/>
    <w:next w:val="Normal"/>
    <w:qFormat/>
    <w:rsid w:val="00E925AD"/>
    <w:pPr>
      <w:spacing w:line="240" w:lineRule="auto"/>
      <w:outlineLvl w:val="4"/>
    </w:pPr>
  </w:style>
  <w:style w:type="paragraph" w:styleId="Heading6">
    <w:name w:val="heading 6"/>
    <w:basedOn w:val="Normal"/>
    <w:next w:val="Normal"/>
    <w:qFormat/>
    <w:rsid w:val="00E925AD"/>
    <w:pPr>
      <w:spacing w:line="240" w:lineRule="auto"/>
      <w:outlineLvl w:val="5"/>
    </w:pPr>
  </w:style>
  <w:style w:type="paragraph" w:styleId="Heading7">
    <w:name w:val="heading 7"/>
    <w:basedOn w:val="Normal"/>
    <w:next w:val="Normal"/>
    <w:qFormat/>
    <w:rsid w:val="00E925AD"/>
    <w:pPr>
      <w:spacing w:line="240" w:lineRule="auto"/>
      <w:outlineLvl w:val="6"/>
    </w:pPr>
  </w:style>
  <w:style w:type="paragraph" w:styleId="Heading8">
    <w:name w:val="heading 8"/>
    <w:basedOn w:val="Normal"/>
    <w:next w:val="Normal"/>
    <w:qFormat/>
    <w:rsid w:val="00E925AD"/>
    <w:pPr>
      <w:spacing w:line="240" w:lineRule="auto"/>
      <w:outlineLvl w:val="7"/>
    </w:pPr>
  </w:style>
  <w:style w:type="paragraph" w:styleId="Heading9">
    <w:name w:val="heading 9"/>
    <w:basedOn w:val="Normal"/>
    <w:next w:val="Normal"/>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E925AD"/>
    <w:pPr>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rPr>
  </w:style>
  <w:style w:type="character" w:styleId="FootnoteReference">
    <w:name w:val="footnote reference"/>
    <w:aliases w:val="4_G,callout,Footnotes refss,Appel note de bas de p.,ftref,Ref,de nota al pie,fr,oc-footreference,oc-footnoteref,oc-footreference1,oc-footnoteref1,(Diplomarbeit FZ),-E Fußnotenzeichen,(Diplomarbeit FZ)1,(Dipl...,Footnote Ref"/>
    <w:basedOn w:val="DefaultParagraphFont"/>
    <w:link w:val="FootnotesymbolCarZchnZchn"/>
    <w:qFormat/>
    <w:rsid w:val="00E925AD"/>
    <w:rPr>
      <w:rFonts w:ascii="Times New Roman" w:hAnsi="Times New Roman"/>
      <w:sz w:val="18"/>
      <w:vertAlign w:val="superscript"/>
    </w:rPr>
  </w:style>
  <w:style w:type="paragraph" w:styleId="FootnoteText">
    <w:name w:val="footnote text"/>
    <w:aliases w:val="5_G,Footnotes,Note de bas de page2,fn,Fußnotentext RAXEN,Footnote Text Char2 Char,Footnote Text Char Char1 Char,Footnote Text Char2 Char Char Char,Footnote Text Char1 Char Char Char Char,footnotes,footnote text,FA Fu,f,ft,FA,Texto"/>
    <w:basedOn w:val="Normal"/>
    <w:link w:val="FootnoteTextChar"/>
    <w:qFormat/>
    <w:rsid w:val="00E925AD"/>
    <w:pPr>
      <w:tabs>
        <w:tab w:val="right" w:pos="1021"/>
      </w:tabs>
      <w:spacing w:line="220" w:lineRule="exact"/>
      <w:ind w:left="1134" w:right="1134" w:hanging="1134"/>
    </w:pPr>
    <w:rPr>
      <w:sz w:val="18"/>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2"/>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pPr>
  </w:style>
  <w:style w:type="character" w:styleId="Hyperlink">
    <w:name w:val="Hyperlink"/>
    <w:basedOn w:val="DefaultParagraphFont"/>
    <w:rsid w:val="00E925AD"/>
    <w:rPr>
      <w:color w:val="auto"/>
      <w:u w:val="none"/>
    </w:rPr>
  </w:style>
  <w:style w:type="paragraph" w:styleId="Footer">
    <w:name w:val="footer"/>
    <w:aliases w:val="3_G"/>
    <w:basedOn w:val="Normal"/>
    <w:link w:val="FooterChar"/>
    <w:uiPriority w:val="99"/>
    <w:qFormat/>
    <w:rsid w:val="00E925AD"/>
    <w:pPr>
      <w:spacing w:line="240" w:lineRule="auto"/>
    </w:pPr>
    <w:rPr>
      <w:sz w:val="16"/>
    </w:rPr>
  </w:style>
  <w:style w:type="paragraph" w:styleId="Header">
    <w:name w:val="header"/>
    <w:aliases w:val="6_G"/>
    <w:basedOn w:val="Normal"/>
    <w:link w:val="HeaderChar"/>
    <w:uiPriority w:val="99"/>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semiHidden/>
    <w:rsid w:val="00E925AD"/>
    <w:rPr>
      <w:color w:val="auto"/>
      <w:u w:val="none"/>
    </w:rPr>
  </w:style>
  <w:style w:type="paragraph" w:styleId="BalloonText">
    <w:name w:val="Balloon Text"/>
    <w:basedOn w:val="Normal"/>
    <w:link w:val="BalloonTextChar"/>
    <w:uiPriority w:val="99"/>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80C68"/>
    <w:rPr>
      <w:rFonts w:ascii="Tahoma" w:hAnsi="Tahoma" w:cs="Tahoma"/>
      <w:sz w:val="16"/>
      <w:szCs w:val="16"/>
      <w:lang w:val="en-GB" w:eastAsia="en-US"/>
    </w:rPr>
  </w:style>
  <w:style w:type="numbering" w:customStyle="1" w:styleId="NoList1">
    <w:name w:val="No List1"/>
    <w:next w:val="NoList"/>
    <w:uiPriority w:val="99"/>
    <w:semiHidden/>
    <w:unhideWhenUsed/>
    <w:rsid w:val="006854E2"/>
  </w:style>
  <w:style w:type="table" w:customStyle="1" w:styleId="TableGrid1">
    <w:name w:val="Table Grid1"/>
    <w:basedOn w:val="TableNormal"/>
    <w:next w:val="TableGrid"/>
    <w:semiHidden/>
    <w:rsid w:val="006854E2"/>
    <w:pPr>
      <w:suppressAutoHyphens/>
      <w:spacing w:line="240" w:lineRule="atLeast"/>
    </w:pPr>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ChChar">
    <w:name w:val="_ H _Ch Char"/>
    <w:link w:val="HCh"/>
    <w:locked/>
    <w:rsid w:val="006854E2"/>
    <w:rPr>
      <w:b/>
      <w:spacing w:val="-2"/>
      <w:w w:val="103"/>
      <w:kern w:val="14"/>
      <w:sz w:val="28"/>
      <w:szCs w:val="24"/>
      <w:lang w:val="en-US" w:eastAsia="zh-CN"/>
    </w:rPr>
  </w:style>
  <w:style w:type="paragraph" w:customStyle="1" w:styleId="HCh">
    <w:name w:val="_ H _Ch"/>
    <w:basedOn w:val="Normal"/>
    <w:next w:val="Normal"/>
    <w:link w:val="HChChar"/>
    <w:rsid w:val="006854E2"/>
    <w:pPr>
      <w:keepNext/>
      <w:keepLines/>
      <w:tabs>
        <w:tab w:val="left" w:pos="1020"/>
        <w:tab w:val="left" w:pos="1264"/>
        <w:tab w:val="left" w:pos="1740"/>
        <w:tab w:val="left" w:pos="2217"/>
        <w:tab w:val="left" w:pos="2693"/>
        <w:tab w:val="left" w:pos="3180"/>
        <w:tab w:val="left" w:pos="3657"/>
        <w:tab w:val="left" w:pos="4133"/>
        <w:tab w:val="left" w:pos="4620"/>
        <w:tab w:val="left" w:pos="5097"/>
        <w:tab w:val="left" w:pos="5573"/>
        <w:tab w:val="left" w:pos="6049"/>
      </w:tabs>
      <w:spacing w:line="300" w:lineRule="exact"/>
      <w:outlineLvl w:val="0"/>
    </w:pPr>
    <w:rPr>
      <w:b/>
      <w:spacing w:val="-2"/>
      <w:w w:val="103"/>
      <w:kern w:val="14"/>
      <w:sz w:val="28"/>
      <w:szCs w:val="24"/>
      <w:lang w:val="en-US" w:eastAsia="zh-CN"/>
    </w:rPr>
  </w:style>
  <w:style w:type="character" w:customStyle="1" w:styleId="FootnoteTextChar">
    <w:name w:val="Footnote Text Char"/>
    <w:aliases w:val="5_G Char,Footnotes Char,Note de bas de page2 Char,fn Char,Fußnotentext RAXEN Char,Footnote Text Char2 Char Char,Footnote Text Char Char1 Char Char,Footnote Text Char2 Char Char Char Char,Footnote Text Char1 Char Char Char Char Char"/>
    <w:link w:val="FootnoteText"/>
    <w:rsid w:val="006854E2"/>
    <w:rPr>
      <w:sz w:val="18"/>
      <w:lang w:val="en-GB" w:eastAsia="en-US"/>
    </w:rPr>
  </w:style>
  <w:style w:type="character" w:styleId="CommentReference">
    <w:name w:val="annotation reference"/>
    <w:uiPriority w:val="99"/>
    <w:rsid w:val="006854E2"/>
    <w:rPr>
      <w:sz w:val="16"/>
      <w:szCs w:val="16"/>
    </w:rPr>
  </w:style>
  <w:style w:type="character" w:customStyle="1" w:styleId="apple-converted-space">
    <w:name w:val="apple-converted-space"/>
    <w:rsid w:val="006854E2"/>
  </w:style>
  <w:style w:type="paragraph" w:styleId="NormalWeb">
    <w:name w:val="Normal (Web)"/>
    <w:basedOn w:val="Normal"/>
    <w:uiPriority w:val="99"/>
    <w:unhideWhenUsed/>
    <w:rsid w:val="006854E2"/>
    <w:pPr>
      <w:suppressAutoHyphens w:val="0"/>
      <w:spacing w:before="100" w:beforeAutospacing="1" w:after="100" w:afterAutospacing="1" w:line="240" w:lineRule="auto"/>
    </w:pPr>
    <w:rPr>
      <w:rFonts w:eastAsia="Malgun Gothic"/>
      <w:sz w:val="24"/>
      <w:szCs w:val="24"/>
      <w:lang w:val="en-US"/>
    </w:rPr>
  </w:style>
  <w:style w:type="numbering" w:customStyle="1" w:styleId="Semlista1">
    <w:name w:val="Sem lista1"/>
    <w:next w:val="NoList"/>
    <w:uiPriority w:val="99"/>
    <w:semiHidden/>
    <w:unhideWhenUsed/>
    <w:rsid w:val="006854E2"/>
  </w:style>
  <w:style w:type="character" w:customStyle="1" w:styleId="HeaderChar">
    <w:name w:val="Header Char"/>
    <w:aliases w:val="6_G Char"/>
    <w:link w:val="Header"/>
    <w:uiPriority w:val="99"/>
    <w:rsid w:val="006854E2"/>
    <w:rPr>
      <w:b/>
      <w:sz w:val="18"/>
      <w:lang w:val="en-GB" w:eastAsia="en-US"/>
    </w:rPr>
  </w:style>
  <w:style w:type="character" w:customStyle="1" w:styleId="FooterChar">
    <w:name w:val="Footer Char"/>
    <w:aliases w:val="3_G Char"/>
    <w:link w:val="Footer"/>
    <w:uiPriority w:val="99"/>
    <w:rsid w:val="006854E2"/>
    <w:rPr>
      <w:sz w:val="16"/>
      <w:lang w:val="en-GB" w:eastAsia="en-US"/>
    </w:rPr>
  </w:style>
  <w:style w:type="paragraph" w:styleId="CommentText">
    <w:name w:val="annotation text"/>
    <w:basedOn w:val="Normal"/>
    <w:link w:val="CommentTextChar"/>
    <w:uiPriority w:val="99"/>
    <w:unhideWhenUsed/>
    <w:rsid w:val="006854E2"/>
    <w:pPr>
      <w:suppressAutoHyphens w:val="0"/>
      <w:spacing w:after="200" w:line="276" w:lineRule="auto"/>
    </w:pPr>
    <w:rPr>
      <w:rFonts w:ascii="Calibri" w:eastAsia="Calibri" w:hAnsi="Calibri"/>
      <w:lang w:val="x-none"/>
    </w:rPr>
  </w:style>
  <w:style w:type="character" w:customStyle="1" w:styleId="CommentTextChar">
    <w:name w:val="Comment Text Char"/>
    <w:basedOn w:val="DefaultParagraphFont"/>
    <w:link w:val="CommentText"/>
    <w:uiPriority w:val="99"/>
    <w:rsid w:val="006854E2"/>
    <w:rPr>
      <w:rFonts w:ascii="Calibri" w:eastAsia="Calibri" w:hAnsi="Calibri"/>
      <w:lang w:val="x-none" w:eastAsia="en-US"/>
    </w:rPr>
  </w:style>
  <w:style w:type="paragraph" w:styleId="CommentSubject">
    <w:name w:val="annotation subject"/>
    <w:basedOn w:val="CommentText"/>
    <w:next w:val="CommentText"/>
    <w:link w:val="CommentSubjectChar"/>
    <w:uiPriority w:val="99"/>
    <w:unhideWhenUsed/>
    <w:rsid w:val="006854E2"/>
    <w:rPr>
      <w:b/>
      <w:bCs/>
    </w:rPr>
  </w:style>
  <w:style w:type="character" w:customStyle="1" w:styleId="CommentSubjectChar">
    <w:name w:val="Comment Subject Char"/>
    <w:basedOn w:val="CommentTextChar"/>
    <w:link w:val="CommentSubject"/>
    <w:uiPriority w:val="99"/>
    <w:rsid w:val="006854E2"/>
    <w:rPr>
      <w:rFonts w:ascii="Calibri" w:eastAsia="Calibri" w:hAnsi="Calibri"/>
      <w:b/>
      <w:bCs/>
      <w:lang w:val="x-none" w:eastAsia="en-US"/>
    </w:rPr>
  </w:style>
  <w:style w:type="paragraph" w:customStyle="1" w:styleId="Default">
    <w:name w:val="Default"/>
    <w:rsid w:val="006854E2"/>
    <w:pPr>
      <w:autoSpaceDE w:val="0"/>
      <w:autoSpaceDN w:val="0"/>
      <w:adjustRightInd w:val="0"/>
    </w:pPr>
    <w:rPr>
      <w:rFonts w:ascii="Arial" w:eastAsia="Calibri" w:hAnsi="Arial" w:cs="Arial"/>
      <w:color w:val="000000"/>
      <w:sz w:val="24"/>
      <w:szCs w:val="24"/>
      <w:lang w:val="pt-PT" w:eastAsia="en-US"/>
    </w:rPr>
  </w:style>
  <w:style w:type="numbering" w:customStyle="1" w:styleId="NoList11">
    <w:name w:val="No List11"/>
    <w:next w:val="NoList"/>
    <w:uiPriority w:val="99"/>
    <w:semiHidden/>
    <w:unhideWhenUsed/>
    <w:rsid w:val="006854E2"/>
  </w:style>
  <w:style w:type="paragraph" w:customStyle="1" w:styleId="En-tte1">
    <w:name w:val="En-tête1"/>
    <w:rsid w:val="006854E2"/>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r-CH" w:eastAsia="fr-CH"/>
    </w:rPr>
  </w:style>
  <w:style w:type="paragraph" w:customStyle="1" w:styleId="En-tteA">
    <w:name w:val="En-tête A"/>
    <w:rsid w:val="006854E2"/>
    <w:pPr>
      <w:pBdr>
        <w:top w:val="nil"/>
        <w:left w:val="nil"/>
        <w:bottom w:val="nil"/>
        <w:right w:val="nil"/>
        <w:between w:val="nil"/>
        <w:bar w:val="nil"/>
      </w:pBdr>
      <w:tabs>
        <w:tab w:val="right" w:pos="9020"/>
      </w:tabs>
    </w:pPr>
    <w:rPr>
      <w:rFonts w:ascii="Helvetica" w:eastAsia="Helvetica" w:hAnsi="Helvetica" w:cs="Helvetica"/>
      <w:color w:val="000000"/>
      <w:sz w:val="24"/>
      <w:szCs w:val="24"/>
      <w:u w:color="000000"/>
      <w:bdr w:val="nil"/>
      <w:lang w:eastAsia="fr-CH"/>
    </w:rPr>
  </w:style>
  <w:style w:type="paragraph" w:customStyle="1" w:styleId="Corps">
    <w:name w:val="Corps"/>
    <w:rsid w:val="006854E2"/>
    <w:pPr>
      <w:pBdr>
        <w:top w:val="nil"/>
        <w:left w:val="nil"/>
        <w:bottom w:val="nil"/>
        <w:right w:val="nil"/>
        <w:between w:val="nil"/>
        <w:bar w:val="nil"/>
      </w:pBdr>
    </w:pPr>
    <w:rPr>
      <w:rFonts w:ascii="Helvetica" w:eastAsia="Helvetica" w:hAnsi="Helvetica" w:cs="Helvetica"/>
      <w:color w:val="000000"/>
      <w:sz w:val="22"/>
      <w:szCs w:val="22"/>
      <w:u w:color="000000"/>
      <w:bdr w:val="nil"/>
      <w:lang w:eastAsia="fr-CH"/>
    </w:rPr>
  </w:style>
  <w:style w:type="numbering" w:customStyle="1" w:styleId="List0">
    <w:name w:val="List 0"/>
    <w:basedOn w:val="Style1import"/>
    <w:rsid w:val="006854E2"/>
    <w:pPr>
      <w:numPr>
        <w:numId w:val="3"/>
      </w:numPr>
    </w:pPr>
  </w:style>
  <w:style w:type="numbering" w:customStyle="1" w:styleId="Style1import">
    <w:name w:val="Style 1 importé"/>
    <w:rsid w:val="006854E2"/>
  </w:style>
  <w:style w:type="paragraph" w:customStyle="1" w:styleId="NotedebasdepageA">
    <w:name w:val="Note de bas de page A"/>
    <w:rsid w:val="006854E2"/>
    <w:pPr>
      <w:pBdr>
        <w:top w:val="nil"/>
        <w:left w:val="nil"/>
        <w:bottom w:val="nil"/>
        <w:right w:val="nil"/>
        <w:between w:val="nil"/>
        <w:bar w:val="nil"/>
      </w:pBdr>
    </w:pPr>
    <w:rPr>
      <w:rFonts w:ascii="Helvetica" w:eastAsia="Helvetica" w:hAnsi="Helvetica" w:cs="Helvetica"/>
      <w:color w:val="000000"/>
      <w:sz w:val="22"/>
      <w:szCs w:val="22"/>
      <w:u w:color="000000"/>
      <w:bdr w:val="nil"/>
      <w:lang w:eastAsia="fr-CH"/>
    </w:rPr>
  </w:style>
  <w:style w:type="numbering" w:customStyle="1" w:styleId="List1">
    <w:name w:val="List 1"/>
    <w:basedOn w:val="Style2import"/>
    <w:rsid w:val="006854E2"/>
    <w:pPr>
      <w:numPr>
        <w:numId w:val="4"/>
      </w:numPr>
    </w:pPr>
  </w:style>
  <w:style w:type="numbering" w:customStyle="1" w:styleId="Style2import">
    <w:name w:val="Style 2 importé"/>
    <w:rsid w:val="006854E2"/>
  </w:style>
  <w:style w:type="paragraph" w:customStyle="1" w:styleId="Pardfaut">
    <w:name w:val="Par défaut"/>
    <w:rsid w:val="006854E2"/>
    <w:pPr>
      <w:pBdr>
        <w:top w:val="nil"/>
        <w:left w:val="nil"/>
        <w:bottom w:val="nil"/>
        <w:right w:val="nil"/>
        <w:between w:val="nil"/>
        <w:bar w:val="nil"/>
      </w:pBdr>
    </w:pPr>
    <w:rPr>
      <w:rFonts w:ascii="Helvetica" w:eastAsia="Helvetica" w:hAnsi="Helvetica" w:cs="Helvetica"/>
      <w:color w:val="000000"/>
      <w:sz w:val="22"/>
      <w:szCs w:val="22"/>
      <w:u w:color="000000"/>
      <w:bdr w:val="nil"/>
      <w:lang w:val="fr-CH" w:eastAsia="fr-CH"/>
    </w:rPr>
  </w:style>
  <w:style w:type="character" w:customStyle="1" w:styleId="Aucun">
    <w:name w:val="Aucun"/>
    <w:rsid w:val="006854E2"/>
  </w:style>
  <w:style w:type="character" w:customStyle="1" w:styleId="Hyperlink0">
    <w:name w:val="Hyperlink.0"/>
    <w:rsid w:val="006854E2"/>
    <w:rPr>
      <w:rFonts w:ascii="Verdana" w:eastAsia="Verdana" w:hAnsi="Verdana" w:cs="Verdana"/>
      <w:color w:val="000000"/>
      <w:sz w:val="18"/>
      <w:szCs w:val="18"/>
      <w:u w:color="000000"/>
      <w:lang w:val="en-US"/>
    </w:rPr>
  </w:style>
  <w:style w:type="character" w:customStyle="1" w:styleId="Hyperlink1">
    <w:name w:val="Hyperlink.1"/>
    <w:rsid w:val="006854E2"/>
    <w:rPr>
      <w:rFonts w:ascii="Verdana" w:eastAsia="Verdana" w:hAnsi="Verdana" w:cs="Verdana"/>
      <w:color w:val="000000"/>
      <w:sz w:val="18"/>
      <w:szCs w:val="18"/>
      <w:u w:val="single" w:color="000000"/>
      <w:lang w:val="en-US"/>
    </w:rPr>
  </w:style>
  <w:style w:type="paragraph" w:customStyle="1" w:styleId="PardfautAA">
    <w:name w:val="Par défaut A A"/>
    <w:rsid w:val="006854E2"/>
    <w:pPr>
      <w:pBdr>
        <w:top w:val="nil"/>
        <w:left w:val="nil"/>
        <w:bottom w:val="nil"/>
        <w:right w:val="nil"/>
        <w:between w:val="nil"/>
        <w:bar w:val="nil"/>
      </w:pBdr>
    </w:pPr>
    <w:rPr>
      <w:rFonts w:ascii="Helvetica" w:eastAsia="Helvetica" w:hAnsi="Helvetica" w:cs="Helvetica"/>
      <w:color w:val="000000"/>
      <w:sz w:val="22"/>
      <w:szCs w:val="22"/>
      <w:u w:color="000000"/>
      <w:bdr w:val="nil"/>
      <w:lang w:eastAsia="fr-CH"/>
    </w:rPr>
  </w:style>
  <w:style w:type="paragraph" w:customStyle="1" w:styleId="PardfautA">
    <w:name w:val="Par défaut A"/>
    <w:rsid w:val="006854E2"/>
    <w:pPr>
      <w:pBdr>
        <w:top w:val="nil"/>
        <w:left w:val="nil"/>
        <w:bottom w:val="nil"/>
        <w:right w:val="nil"/>
        <w:between w:val="nil"/>
        <w:bar w:val="nil"/>
      </w:pBdr>
    </w:pPr>
    <w:rPr>
      <w:rFonts w:ascii="Helvetica" w:eastAsia="Helvetica" w:hAnsi="Helvetica" w:cs="Helvetica"/>
      <w:color w:val="000000"/>
      <w:sz w:val="22"/>
      <w:szCs w:val="22"/>
      <w:u w:color="000000"/>
      <w:bdr w:val="nil"/>
      <w:lang w:eastAsia="fr-CH"/>
    </w:rPr>
  </w:style>
  <w:style w:type="numbering" w:customStyle="1" w:styleId="List21">
    <w:name w:val="List 21"/>
    <w:basedOn w:val="Style3import"/>
    <w:rsid w:val="006854E2"/>
    <w:pPr>
      <w:numPr>
        <w:numId w:val="5"/>
      </w:numPr>
    </w:pPr>
  </w:style>
  <w:style w:type="numbering" w:customStyle="1" w:styleId="Style3import">
    <w:name w:val="Style 3 importé"/>
    <w:rsid w:val="006854E2"/>
  </w:style>
  <w:style w:type="numbering" w:customStyle="1" w:styleId="List31">
    <w:name w:val="List 31"/>
    <w:basedOn w:val="Style4import"/>
    <w:rsid w:val="006854E2"/>
    <w:pPr>
      <w:numPr>
        <w:numId w:val="6"/>
      </w:numPr>
    </w:pPr>
  </w:style>
  <w:style w:type="numbering" w:customStyle="1" w:styleId="Style4import">
    <w:name w:val="Style 4 importé"/>
    <w:rsid w:val="006854E2"/>
  </w:style>
  <w:style w:type="numbering" w:customStyle="1" w:styleId="List41">
    <w:name w:val="List 41"/>
    <w:basedOn w:val="Style5import"/>
    <w:rsid w:val="006854E2"/>
    <w:pPr>
      <w:numPr>
        <w:numId w:val="7"/>
      </w:numPr>
    </w:pPr>
  </w:style>
  <w:style w:type="numbering" w:customStyle="1" w:styleId="Style5import">
    <w:name w:val="Style 5 importé"/>
    <w:rsid w:val="006854E2"/>
  </w:style>
  <w:style w:type="character" w:customStyle="1" w:styleId="Hyperlink2">
    <w:name w:val="Hyperlink.2"/>
    <w:rsid w:val="006854E2"/>
    <w:rPr>
      <w:rFonts w:ascii="Verdana" w:eastAsia="Verdana" w:hAnsi="Verdana" w:cs="Verdana"/>
      <w:color w:val="000000"/>
      <w:sz w:val="18"/>
      <w:szCs w:val="18"/>
      <w:u w:color="000000"/>
      <w:lang w:val="fr-FR"/>
    </w:rPr>
  </w:style>
  <w:style w:type="character" w:customStyle="1" w:styleId="Hyperlink3">
    <w:name w:val="Hyperlink.3"/>
    <w:rsid w:val="006854E2"/>
    <w:rPr>
      <w:rFonts w:ascii="Verdana" w:eastAsia="Verdana" w:hAnsi="Verdana" w:cs="Verdana"/>
      <w:color w:val="000000"/>
      <w:sz w:val="24"/>
      <w:szCs w:val="24"/>
      <w:u w:val="none" w:color="000000"/>
      <w:lang w:val="en-US"/>
    </w:rPr>
  </w:style>
  <w:style w:type="numbering" w:customStyle="1" w:styleId="Style6import">
    <w:name w:val="Style 6 importé"/>
    <w:rsid w:val="006854E2"/>
    <w:pPr>
      <w:numPr>
        <w:numId w:val="8"/>
      </w:numPr>
    </w:pPr>
  </w:style>
  <w:style w:type="numbering" w:customStyle="1" w:styleId="List51">
    <w:name w:val="List 51"/>
    <w:basedOn w:val="Style7import"/>
    <w:rsid w:val="006854E2"/>
    <w:pPr>
      <w:numPr>
        <w:numId w:val="9"/>
      </w:numPr>
    </w:pPr>
  </w:style>
  <w:style w:type="numbering" w:customStyle="1" w:styleId="Style7import">
    <w:name w:val="Style 7 importé"/>
    <w:rsid w:val="006854E2"/>
  </w:style>
  <w:style w:type="character" w:customStyle="1" w:styleId="Hyperlink4">
    <w:name w:val="Hyperlink.4"/>
    <w:rsid w:val="006854E2"/>
    <w:rPr>
      <w:rFonts w:ascii="Verdana" w:eastAsia="Verdana" w:hAnsi="Verdana" w:cs="Verdana"/>
      <w:color w:val="000000"/>
      <w:sz w:val="24"/>
      <w:szCs w:val="24"/>
      <w:u w:color="000000"/>
      <w:lang w:val="en-US"/>
    </w:rPr>
  </w:style>
  <w:style w:type="numbering" w:customStyle="1" w:styleId="List6">
    <w:name w:val="List 6"/>
    <w:basedOn w:val="Style8import"/>
    <w:rsid w:val="006854E2"/>
    <w:pPr>
      <w:numPr>
        <w:numId w:val="10"/>
      </w:numPr>
    </w:pPr>
  </w:style>
  <w:style w:type="numbering" w:customStyle="1" w:styleId="Style8import">
    <w:name w:val="Style 8 importé"/>
    <w:rsid w:val="006854E2"/>
  </w:style>
  <w:style w:type="numbering" w:customStyle="1" w:styleId="Style9import">
    <w:name w:val="Style 9 importé"/>
    <w:rsid w:val="006854E2"/>
    <w:pPr>
      <w:numPr>
        <w:numId w:val="11"/>
      </w:numPr>
    </w:pPr>
  </w:style>
  <w:style w:type="character" w:customStyle="1" w:styleId="Heading2Char">
    <w:name w:val="Heading 2 Char"/>
    <w:link w:val="Heading2"/>
    <w:uiPriority w:val="9"/>
    <w:rsid w:val="006854E2"/>
    <w:rPr>
      <w:lang w:val="en-GB" w:eastAsia="en-US"/>
    </w:rPr>
  </w:style>
  <w:style w:type="character" w:styleId="Emphasis">
    <w:name w:val="Emphasis"/>
    <w:uiPriority w:val="20"/>
    <w:qFormat/>
    <w:rsid w:val="006854E2"/>
    <w:rPr>
      <w:i/>
    </w:rPr>
  </w:style>
  <w:style w:type="paragraph" w:customStyle="1" w:styleId="FootnotesymbolCarZchnZchn">
    <w:name w:val="Footnote symbol Car Zchn Zchn"/>
    <w:aliases w:val="Footnote Car Zchn Zchn,Times 10 Point Car Zchn Zchn,Exposant 3 Point Car Zchn Zchn,Footnote Reference Superscript Car Zchn Zchn, Char Char Char Char Char Car Zchn Zchn,BVI fnr Car Zchn Zchn"/>
    <w:basedOn w:val="Normal"/>
    <w:link w:val="FootnoteReference"/>
    <w:rsid w:val="006854E2"/>
    <w:pPr>
      <w:spacing w:after="160" w:line="240" w:lineRule="exact"/>
      <w:jc w:val="both"/>
    </w:pPr>
    <w:rPr>
      <w:sz w:val="18"/>
      <w:vertAlign w:val="superscript"/>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www.un.org/Docs/asp/ws.asp?m=A/RES/60/147" TargetMode="External"/><Relationship Id="rId1" Type="http://schemas.openxmlformats.org/officeDocument/2006/relationships/hyperlink" Target="https://www.unglobalcompact.org/docs/issues_doc/human_rights/IndigenousPeoples/BusinessGuid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E\E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446AB3680AD04583FFC0D2A3BEC2EA" ma:contentTypeVersion="0" ma:contentTypeDescription="Create a new document." ma:contentTypeScope="" ma:versionID="4a6605c3c1876c8c4c7bf4e29f5e256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B2592-D022-4FAD-9159-F0443ADD83F4}">
  <ds:schemaRefs>
    <ds:schemaRef ds:uri="http://schemas.microsoft.com/sharepoint/v3/contenttype/forms"/>
  </ds:schemaRefs>
</ds:datastoreItem>
</file>

<file path=customXml/itemProps2.xml><?xml version="1.0" encoding="utf-8"?>
<ds:datastoreItem xmlns:ds="http://schemas.openxmlformats.org/officeDocument/2006/customXml" ds:itemID="{30C3815D-3D4A-4622-ADBD-08A5BA036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FDA094F-B325-4EC1-B790-3B2D9E11C5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25B433-44B3-4A5F-B221-6501E8CEE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E_E</Template>
  <TotalTime>0</TotalTime>
  <Pages>17</Pages>
  <Words>7325</Words>
  <Characters>41757</Characters>
  <Application>Microsoft Office Word</Application>
  <DocSecurity>4</DocSecurity>
  <Lines>347</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E/C.12/62/R.1</vt:lpstr>
      <vt:lpstr>United Nations</vt:lpstr>
    </vt:vector>
  </TitlesOfParts>
  <Company>CSD</Company>
  <LinksUpToDate>false</LinksUpToDate>
  <CharactersWithSpaces>48985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E/C.12/62/R.1</dc:title>
  <dc:creator>Céline Reynaud</dc:creator>
  <cp:lastModifiedBy>Daniel Fyfe</cp:lastModifiedBy>
  <cp:revision>2</cp:revision>
  <cp:lastPrinted>2017-06-23T09:29:00Z</cp:lastPrinted>
  <dcterms:created xsi:type="dcterms:W3CDTF">2017-06-23T12:41:00Z</dcterms:created>
  <dcterms:modified xsi:type="dcterms:W3CDTF">2017-06-23T12:41:00Z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0x010100B5446AB3680AD04583FFC0D2A3BEC2EA</vt:lpwstr>
  </property>
</Properties>
</file>